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rsidP="00F50630">
      <w:pPr>
        <w:pStyle w:val="1"/>
        <w:kinsoku/>
        <w:ind w:left="2722" w:hanging="2722"/>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71BE3" w:rsidRPr="005C1E4B">
        <w:rPr>
          <w:rFonts w:ascii="Times New Roman" w:hint="eastAsia"/>
        </w:rPr>
        <w:t>臺灣銀行股份有限公司</w:t>
      </w:r>
      <w:r w:rsidRPr="00FB15E9">
        <w:rPr>
          <w:rFonts w:hint="eastAsia"/>
        </w:rPr>
        <w:t>。</w:t>
      </w:r>
    </w:p>
    <w:p w:rsidR="00994DC6" w:rsidRPr="00994DC6" w:rsidRDefault="00B34457" w:rsidP="003E7A7D">
      <w:pPr>
        <w:pStyle w:val="1"/>
        <w:ind w:leftChars="-13" w:left="2575" w:hangingChars="770" w:hanging="2619"/>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r w:rsidR="00DE5245" w:rsidRPr="00DE5245">
        <w:rPr>
          <w:rFonts w:hint="eastAsia"/>
        </w:rPr>
        <w:t>臺灣銀行股份有限公司辦理共同供應契約相關採購案之招決標作業，存有詢價未盡落實、決標價格高於市價、最大訂購門檻未考量各品項單價之差異、商品市價通報機制形同虛設、未適當區分書籍年份及採購數量級距等缺失，致使契約價格偏離市場行情，徒增鉅額公帑；</w:t>
      </w:r>
      <w:r w:rsidR="00DE5245">
        <w:rPr>
          <w:rFonts w:hint="eastAsia"/>
        </w:rPr>
        <w:t>且</w:t>
      </w:r>
      <w:r w:rsidR="00DE5245" w:rsidRPr="00DE5245">
        <w:rPr>
          <w:rFonts w:hint="eastAsia"/>
        </w:rPr>
        <w:t>違反政府採購法及招標文件規定，於「中文圖書」之共同供應契約採購案開標且價格封開啟後，</w:t>
      </w:r>
      <w:r w:rsidR="00DE5245">
        <w:rPr>
          <w:rFonts w:hint="eastAsia"/>
        </w:rPr>
        <w:t>竟</w:t>
      </w:r>
      <w:r w:rsidR="00DE5245" w:rsidRPr="00DE5245">
        <w:rPr>
          <w:rFonts w:hint="eastAsia"/>
        </w:rPr>
        <w:t>同意廠商撤回報價，且拒坦承疏失責任，均核有違失，爰依法提案糾正</w:t>
      </w:r>
      <w:r w:rsidR="00D96D80">
        <w:rPr>
          <w:rFonts w:hint="eastAsia"/>
        </w:rPr>
        <w:t>。</w:t>
      </w:r>
    </w:p>
    <w:p w:rsidR="00E20938" w:rsidRPr="004952D9" w:rsidRDefault="00E20938" w:rsidP="0013345D">
      <w:pPr>
        <w:pStyle w:val="1"/>
        <w:numPr>
          <w:ilvl w:val="0"/>
          <w:numId w:val="0"/>
        </w:numPr>
        <w:spacing w:line="240" w:lineRule="exact"/>
        <w:ind w:left="2676"/>
        <w:rPr>
          <w:color w:val="000000"/>
        </w:rPr>
      </w:pP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71BE3" w:rsidRPr="005C1E4B" w:rsidRDefault="00271BE3" w:rsidP="00063118">
      <w:pPr>
        <w:pStyle w:val="12"/>
        <w:spacing w:beforeLines="20"/>
        <w:ind w:left="680" w:firstLine="680"/>
      </w:pPr>
      <w:r w:rsidRPr="005C1E4B">
        <w:rPr>
          <w:rFonts w:ascii="Times New Roman" w:hint="eastAsia"/>
        </w:rPr>
        <w:t>行政院公共工程委員會</w:t>
      </w:r>
      <w:r w:rsidRPr="005C1E4B">
        <w:rPr>
          <w:rFonts w:hint="eastAsia"/>
        </w:rPr>
        <w:t>(下稱</w:t>
      </w:r>
      <w:r w:rsidRPr="005C1E4B">
        <w:rPr>
          <w:rFonts w:ascii="Times New Roman" w:hint="eastAsia"/>
        </w:rPr>
        <w:t>工程會</w:t>
      </w:r>
      <w:r w:rsidRPr="005C1E4B">
        <w:rPr>
          <w:rFonts w:hint="eastAsia"/>
        </w:rPr>
        <w:t>)為利政府各機關、學校、公營事業辦理財物及勞務集中採購，並經由集中採購，以節省人力，發揮大量採購之經濟效益，提升採購執行績效，特於「政府採購法」第</w:t>
      </w:r>
      <w:r w:rsidRPr="005C1E4B">
        <w:t>93</w:t>
      </w:r>
      <w:r w:rsidRPr="005C1E4B">
        <w:rPr>
          <w:rFonts w:hint="eastAsia"/>
        </w:rPr>
        <w:t>條明訂共同供應契約之條文，且另訂定</w:t>
      </w:r>
      <w:r w:rsidRPr="005C1E4B">
        <w:rPr>
          <w:rFonts w:hAnsi="標楷體" w:cs="HiddenHorzOCR" w:hint="eastAsia"/>
          <w:szCs w:val="32"/>
        </w:rPr>
        <w:t>「</w:t>
      </w:r>
      <w:r w:rsidRPr="005C1E4B">
        <w:rPr>
          <w:rFonts w:hint="eastAsia"/>
          <w:color w:val="000000"/>
          <w:szCs w:val="52"/>
        </w:rPr>
        <w:t>共同供應契約實施辦法</w:t>
      </w:r>
      <w:r w:rsidRPr="005C1E4B">
        <w:rPr>
          <w:rFonts w:hAnsi="標楷體" w:cs="HiddenHorzOCR" w:hint="eastAsia"/>
          <w:szCs w:val="32"/>
        </w:rPr>
        <w:t>」及</w:t>
      </w:r>
      <w:r w:rsidRPr="005C1E4B">
        <w:rPr>
          <w:rFonts w:hint="eastAsia"/>
        </w:rPr>
        <w:t>「中央機關共同供應契約集中採購實施要點」</w:t>
      </w:r>
      <w:r>
        <w:rPr>
          <w:rFonts w:hint="eastAsia"/>
        </w:rPr>
        <w:t>等法令</w:t>
      </w:r>
      <w:r w:rsidRPr="005C1E4B">
        <w:rPr>
          <w:rFonts w:hint="eastAsia"/>
        </w:rPr>
        <w:t>，以茲實施，並自</w:t>
      </w:r>
      <w:r w:rsidRPr="005C1E4B">
        <w:rPr>
          <w:rFonts w:hAnsi="標楷體" w:cs="Tahoma" w:hint="eastAsia"/>
          <w:szCs w:val="32"/>
        </w:rPr>
        <w:t>民國(下同)</w:t>
      </w:r>
      <w:r w:rsidRPr="005C1E4B">
        <w:t>88</w:t>
      </w:r>
      <w:r w:rsidRPr="005C1E4B">
        <w:rPr>
          <w:rFonts w:hint="eastAsia"/>
        </w:rPr>
        <w:t>年指定</w:t>
      </w:r>
      <w:r w:rsidRPr="005C1E4B">
        <w:rPr>
          <w:color w:val="000000"/>
          <w:szCs w:val="52"/>
        </w:rPr>
        <w:t>中央信託局股份有限公司（下稱中信局）</w:t>
      </w:r>
      <w:r w:rsidRPr="005C1E4B">
        <w:rPr>
          <w:rFonts w:hint="eastAsia"/>
        </w:rPr>
        <w:t>為訂約機闕，</w:t>
      </w:r>
      <w:r w:rsidRPr="005C1E4B">
        <w:rPr>
          <w:rFonts w:hAnsi="標楷體" w:cs="HiddenHorzOCR" w:hint="eastAsia"/>
          <w:szCs w:val="32"/>
        </w:rPr>
        <w:t>96年7月1日</w:t>
      </w:r>
      <w:r w:rsidRPr="005C1E4B">
        <w:rPr>
          <w:szCs w:val="52"/>
        </w:rPr>
        <w:t>中信局</w:t>
      </w:r>
      <w:r w:rsidRPr="005C1E4B">
        <w:rPr>
          <w:rFonts w:hAnsi="標楷體" w:cs="HiddenHorzOCR" w:hint="eastAsia"/>
          <w:szCs w:val="32"/>
        </w:rPr>
        <w:t>與</w:t>
      </w:r>
      <w:r w:rsidRPr="005C1E4B">
        <w:rPr>
          <w:rFonts w:ascii="Times New Roman" w:hint="eastAsia"/>
        </w:rPr>
        <w:t>臺灣銀行股份有限公司</w:t>
      </w:r>
      <w:r w:rsidRPr="005C1E4B">
        <w:rPr>
          <w:rFonts w:hint="eastAsia"/>
        </w:rPr>
        <w:t>(下稱</w:t>
      </w:r>
      <w:r w:rsidRPr="005C1E4B">
        <w:rPr>
          <w:rFonts w:ascii="Times New Roman" w:hint="eastAsia"/>
        </w:rPr>
        <w:t>臺灣銀行</w:t>
      </w:r>
      <w:r w:rsidRPr="005C1E4B">
        <w:rPr>
          <w:rFonts w:hint="eastAsia"/>
        </w:rPr>
        <w:t>)</w:t>
      </w:r>
      <w:r w:rsidRPr="005C1E4B">
        <w:rPr>
          <w:rFonts w:hAnsi="標楷體" w:cs="HiddenHorzOCR" w:hint="eastAsia"/>
          <w:szCs w:val="32"/>
        </w:rPr>
        <w:t>合併，由該銀行採購部辦理</w:t>
      </w:r>
      <w:r w:rsidRPr="005C1E4B">
        <w:rPr>
          <w:rFonts w:hint="eastAsia"/>
        </w:rPr>
        <w:t>共同供應契約之</w:t>
      </w:r>
      <w:r w:rsidRPr="005C1E4B">
        <w:rPr>
          <w:rFonts w:hAnsi="標楷體" w:cs="HiddenHorzOCR" w:hint="eastAsia"/>
          <w:szCs w:val="32"/>
        </w:rPr>
        <w:t>集中採購</w:t>
      </w:r>
      <w:r w:rsidRPr="005C1E4B">
        <w:rPr>
          <w:rFonts w:hint="eastAsia"/>
        </w:rPr>
        <w:t>，</w:t>
      </w:r>
      <w:r>
        <w:rPr>
          <w:rFonts w:hint="eastAsia"/>
        </w:rPr>
        <w:t>以</w:t>
      </w:r>
      <w:r w:rsidRPr="005C1E4B">
        <w:rPr>
          <w:rFonts w:hint="eastAsia"/>
        </w:rPr>
        <w:t>供全國各機關、學</w:t>
      </w:r>
      <w:r w:rsidRPr="005C1E4B">
        <w:rPr>
          <w:rFonts w:hAnsi="標楷體" w:hint="eastAsia"/>
          <w:szCs w:val="32"/>
        </w:rPr>
        <w:t>校、公營事業使用訂購。</w:t>
      </w:r>
      <w:r>
        <w:rPr>
          <w:rFonts w:hAnsi="標楷體" w:hint="eastAsia"/>
          <w:szCs w:val="32"/>
        </w:rPr>
        <w:t>然</w:t>
      </w:r>
      <w:r>
        <w:rPr>
          <w:rFonts w:hint="eastAsia"/>
        </w:rPr>
        <w:t>依據</w:t>
      </w:r>
      <w:r w:rsidRPr="005C1E4B">
        <w:rPr>
          <w:rFonts w:hint="eastAsia"/>
        </w:rPr>
        <w:t>工程會年報揭露</w:t>
      </w:r>
      <w:r>
        <w:rPr>
          <w:rFonts w:hAnsi="標楷體" w:cs="HiddenHorzOCR" w:hint="eastAsia"/>
          <w:szCs w:val="32"/>
        </w:rPr>
        <w:t>101年度</w:t>
      </w:r>
      <w:r w:rsidRPr="005C1E4B">
        <w:rPr>
          <w:rFonts w:hAnsi="標楷體" w:cs="HiddenHorzOCR" w:hint="eastAsia"/>
          <w:szCs w:val="32"/>
        </w:rPr>
        <w:t>政府各適用機關運用共同供應契約之總採購金額已達新臺幣</w:t>
      </w:r>
      <w:r w:rsidRPr="005C1E4B">
        <w:rPr>
          <w:rFonts w:hint="eastAsia"/>
        </w:rPr>
        <w:t>(下</w:t>
      </w:r>
      <w:r w:rsidRPr="005C1E4B">
        <w:rPr>
          <w:rFonts w:hint="eastAsia"/>
        </w:rPr>
        <w:lastRenderedPageBreak/>
        <w:t>同)</w:t>
      </w:r>
      <w:r>
        <w:rPr>
          <w:rFonts w:hAnsi="標楷體" w:cs="HiddenHorzOCR" w:hint="eastAsia"/>
          <w:szCs w:val="32"/>
        </w:rPr>
        <w:t>871</w:t>
      </w:r>
      <w:r w:rsidRPr="005C1E4B">
        <w:rPr>
          <w:rFonts w:hAnsi="標楷體" w:cs="HiddenHorzOCR" w:hint="eastAsia"/>
          <w:szCs w:val="32"/>
        </w:rPr>
        <w:t>億餘元，訂購筆數</w:t>
      </w:r>
      <w:r>
        <w:rPr>
          <w:rFonts w:hAnsi="標楷體" w:cs="HiddenHorzOCR" w:hint="eastAsia"/>
          <w:szCs w:val="32"/>
        </w:rPr>
        <w:t>亦達141</w:t>
      </w:r>
      <w:r w:rsidRPr="005C1E4B">
        <w:rPr>
          <w:rFonts w:hAnsi="標楷體" w:cs="HiddenHorzOCR" w:hint="eastAsia"/>
          <w:szCs w:val="32"/>
        </w:rPr>
        <w:t>萬筆；惟審計部、法務部</w:t>
      </w:r>
      <w:r w:rsidRPr="005C1E4B">
        <w:rPr>
          <w:rFonts w:hAnsi="標楷體" w:hint="eastAsia"/>
          <w:szCs w:val="32"/>
        </w:rPr>
        <w:t>廉政署(下稱廉政署)及</w:t>
      </w:r>
      <w:r w:rsidRPr="005C1E4B">
        <w:rPr>
          <w:rFonts w:hint="eastAsia"/>
        </w:rPr>
        <w:t>工程會</w:t>
      </w:r>
      <w:r>
        <w:rPr>
          <w:rFonts w:hint="eastAsia"/>
        </w:rPr>
        <w:t>於102年間</w:t>
      </w:r>
      <w:r w:rsidRPr="005C1E4B">
        <w:rPr>
          <w:rFonts w:hint="eastAsia"/>
        </w:rPr>
        <w:t>調查發現</w:t>
      </w:r>
      <w:r w:rsidRPr="005C1E4B">
        <w:rPr>
          <w:rFonts w:ascii="Times New Roman" w:hint="eastAsia"/>
        </w:rPr>
        <w:t>相關採購案存有</w:t>
      </w:r>
      <w:r>
        <w:rPr>
          <w:rFonts w:ascii="Times New Roman" w:hint="eastAsia"/>
        </w:rPr>
        <w:t>：</w:t>
      </w:r>
      <w:r w:rsidRPr="005C1E4B">
        <w:rPr>
          <w:rFonts w:hint="eastAsia"/>
          <w:kern w:val="2"/>
          <w:szCs w:val="32"/>
        </w:rPr>
        <w:t>詢/查價未盡落實</w:t>
      </w:r>
      <w:r w:rsidRPr="005C1E4B">
        <w:rPr>
          <w:rFonts w:ascii="Times New Roman" w:hint="eastAsia"/>
        </w:rPr>
        <w:t>、</w:t>
      </w:r>
      <w:r w:rsidRPr="005C1E4B">
        <w:rPr>
          <w:rFonts w:hint="eastAsia"/>
          <w:kern w:val="2"/>
          <w:szCs w:val="32"/>
        </w:rPr>
        <w:t>決標價格高於市價</w:t>
      </w:r>
      <w:r w:rsidRPr="005C1E4B">
        <w:rPr>
          <w:rFonts w:ascii="Times New Roman" w:hint="eastAsia"/>
        </w:rPr>
        <w:t>、</w:t>
      </w:r>
      <w:r w:rsidRPr="005C1E4B">
        <w:rPr>
          <w:rFonts w:hint="eastAsia"/>
          <w:bCs/>
          <w:kern w:val="2"/>
          <w:szCs w:val="32"/>
        </w:rPr>
        <w:t>業務承辦能力不足</w:t>
      </w:r>
      <w:r w:rsidRPr="005C1E4B">
        <w:rPr>
          <w:rFonts w:ascii="Times New Roman" w:hint="eastAsia"/>
        </w:rPr>
        <w:t>、</w:t>
      </w:r>
      <w:r w:rsidRPr="005C1E4B">
        <w:rPr>
          <w:rFonts w:hint="eastAsia"/>
          <w:bCs/>
          <w:kern w:val="2"/>
          <w:szCs w:val="32"/>
        </w:rPr>
        <w:t>未於招標文件規範排除廠商投遞不合理報價情形</w:t>
      </w:r>
      <w:r w:rsidRPr="005C1E4B">
        <w:rPr>
          <w:rFonts w:ascii="Times New Roman" w:hint="eastAsia"/>
        </w:rPr>
        <w:t>、</w:t>
      </w:r>
      <w:r w:rsidRPr="005C1E4B">
        <w:rPr>
          <w:rFonts w:hint="eastAsia"/>
          <w:kern w:val="2"/>
          <w:szCs w:val="32"/>
        </w:rPr>
        <w:t>單價高於集中採購決標予單一廠商之單價</w:t>
      </w:r>
      <w:r w:rsidRPr="005C1E4B">
        <w:rPr>
          <w:rFonts w:hint="eastAsia"/>
          <w:bCs/>
          <w:kern w:val="2"/>
          <w:szCs w:val="32"/>
        </w:rPr>
        <w:t>、</w:t>
      </w:r>
      <w:r w:rsidRPr="005C1E4B">
        <w:rPr>
          <w:rFonts w:hint="eastAsia"/>
          <w:kern w:val="2"/>
          <w:szCs w:val="32"/>
        </w:rPr>
        <w:t>未適當區分採購數量級距</w:t>
      </w:r>
      <w:r w:rsidRPr="005C1E4B">
        <w:rPr>
          <w:rFonts w:ascii="Times New Roman" w:hint="eastAsia"/>
        </w:rPr>
        <w:t>及</w:t>
      </w:r>
      <w:r w:rsidRPr="005C1E4B">
        <w:rPr>
          <w:rFonts w:hint="eastAsia"/>
          <w:kern w:val="2"/>
          <w:szCs w:val="32"/>
        </w:rPr>
        <w:t>書籍年份</w:t>
      </w:r>
      <w:r>
        <w:rPr>
          <w:rFonts w:hint="eastAsia"/>
          <w:kern w:val="2"/>
          <w:szCs w:val="32"/>
        </w:rPr>
        <w:t>與</w:t>
      </w:r>
      <w:r w:rsidRPr="005C1E4B">
        <w:rPr>
          <w:rFonts w:hint="eastAsia"/>
        </w:rPr>
        <w:t>弊案層出不窮</w:t>
      </w:r>
      <w:r w:rsidRPr="005C1E4B">
        <w:rPr>
          <w:rFonts w:ascii="Times New Roman" w:hint="eastAsia"/>
        </w:rPr>
        <w:t>等缺失</w:t>
      </w:r>
      <w:r w:rsidRPr="005C1E4B">
        <w:rPr>
          <w:rFonts w:hAnsi="標楷體" w:hint="eastAsia"/>
          <w:bCs/>
          <w:kern w:val="2"/>
          <w:szCs w:val="32"/>
        </w:rPr>
        <w:t>。案經本院立案調查，</w:t>
      </w:r>
      <w:r w:rsidRPr="005C1E4B">
        <w:rPr>
          <w:rFonts w:hAnsi="Arial" w:hint="eastAsia"/>
          <w:bCs/>
          <w:color w:val="000000"/>
          <w:szCs w:val="52"/>
        </w:rPr>
        <w:t>經調查委員於102年11月28日先請審計部到院簡報各機關辦理</w:t>
      </w:r>
      <w:r w:rsidRPr="005C1E4B">
        <w:rPr>
          <w:rFonts w:hint="eastAsia"/>
        </w:rPr>
        <w:t>共同供應契約之缺失情形後，即函請工程會、臺灣銀行及法務部提供相關卷證資料，並於</w:t>
      </w:r>
      <w:r w:rsidRPr="005C1E4B">
        <w:t>103</w:t>
      </w:r>
      <w:r w:rsidRPr="005C1E4B">
        <w:rPr>
          <w:rFonts w:hint="eastAsia"/>
        </w:rPr>
        <w:t>年</w:t>
      </w:r>
      <w:r w:rsidRPr="005C1E4B">
        <w:t>1</w:t>
      </w:r>
      <w:r w:rsidRPr="005C1E4B">
        <w:rPr>
          <w:rFonts w:hint="eastAsia"/>
        </w:rPr>
        <w:t>月15日、</w:t>
      </w:r>
      <w:r w:rsidRPr="005C1E4B">
        <w:t>24</w:t>
      </w:r>
      <w:r w:rsidRPr="005C1E4B">
        <w:rPr>
          <w:rFonts w:hint="eastAsia"/>
        </w:rPr>
        <w:t>日分別約</w:t>
      </w:r>
      <w:r w:rsidRPr="005C1E4B">
        <w:rPr>
          <w:rFonts w:hAnsi="Arial" w:hint="eastAsia"/>
          <w:bCs/>
          <w:color w:val="000000"/>
          <w:szCs w:val="52"/>
        </w:rPr>
        <w:t>詢法務部暨所屬廉政署、</w:t>
      </w:r>
      <w:r w:rsidRPr="005C1E4B">
        <w:rPr>
          <w:rFonts w:hint="eastAsia"/>
        </w:rPr>
        <w:t>工程會及臺灣銀行有關主管人員</w:t>
      </w:r>
      <w:r w:rsidRPr="005C1E4B">
        <w:rPr>
          <w:rFonts w:hAnsi="Arial" w:hint="eastAsia"/>
          <w:bCs/>
          <w:color w:val="000000"/>
          <w:szCs w:val="52"/>
        </w:rPr>
        <w:t>，嗣請有關機關補充說明資料後，業已調查竣事</w:t>
      </w:r>
      <w:r w:rsidRPr="005C1E4B">
        <w:rPr>
          <w:rFonts w:hint="eastAsia"/>
        </w:rPr>
        <w:t>，</w:t>
      </w:r>
      <w:r w:rsidRPr="00914453">
        <w:rPr>
          <w:rFonts w:ascii="Times New Roman"/>
        </w:rPr>
        <w:t>茲</w:t>
      </w:r>
      <w:r w:rsidRPr="00914453">
        <w:rPr>
          <w:rFonts w:hint="eastAsia"/>
          <w:bCs/>
        </w:rPr>
        <w:t>臚列糾正</w:t>
      </w:r>
      <w:r w:rsidRPr="00914453">
        <w:rPr>
          <w:rFonts w:hint="eastAsia"/>
        </w:rPr>
        <w:t>事實與理由</w:t>
      </w:r>
      <w:r>
        <w:rPr>
          <w:rFonts w:hint="eastAsia"/>
          <w:bCs/>
        </w:rPr>
        <w:t>如</w:t>
      </w:r>
      <w:r>
        <w:rPr>
          <w:rFonts w:hint="eastAsia"/>
        </w:rPr>
        <w:t>次</w:t>
      </w:r>
      <w:r w:rsidRPr="005C1E4B">
        <w:rPr>
          <w:rFonts w:hint="eastAsia"/>
        </w:rPr>
        <w:t>：</w:t>
      </w:r>
    </w:p>
    <w:p w:rsidR="00271BE3" w:rsidRPr="004E2D26" w:rsidRDefault="00271BE3" w:rsidP="00063118">
      <w:pPr>
        <w:pStyle w:val="2"/>
        <w:kinsoku w:val="0"/>
        <w:spacing w:beforeLines="20"/>
        <w:ind w:left="1020" w:hanging="680"/>
        <w:rPr>
          <w:b/>
        </w:rPr>
      </w:pPr>
      <w:bookmarkStart w:id="33" w:name="_Toc383415225"/>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r w:rsidRPr="004E2D26">
        <w:rPr>
          <w:rFonts w:hint="eastAsia"/>
          <w:b/>
        </w:rPr>
        <w:t>臺灣銀行辦理</w:t>
      </w:r>
      <w:r w:rsidRPr="004E2D26">
        <w:rPr>
          <w:b/>
        </w:rPr>
        <w:t>共同供應契約</w:t>
      </w:r>
      <w:r w:rsidRPr="004E2D26">
        <w:rPr>
          <w:rFonts w:hint="eastAsia"/>
          <w:b/>
        </w:rPr>
        <w:t>相關採購案之</w:t>
      </w:r>
      <w:r w:rsidRPr="004E2D26">
        <w:rPr>
          <w:b/>
        </w:rPr>
        <w:t>招</w:t>
      </w:r>
      <w:r w:rsidRPr="004E2D26">
        <w:rPr>
          <w:rFonts w:hint="eastAsia"/>
          <w:b/>
        </w:rPr>
        <w:t>決</w:t>
      </w:r>
      <w:r w:rsidRPr="004E2D26">
        <w:rPr>
          <w:b/>
        </w:rPr>
        <w:t>標</w:t>
      </w:r>
      <w:r w:rsidRPr="004E2D26">
        <w:rPr>
          <w:rFonts w:hint="eastAsia"/>
          <w:b/>
        </w:rPr>
        <w:t>作業，存有詢價未盡落實、決標價格高於市價、</w:t>
      </w:r>
      <w:r w:rsidRPr="004E2D26">
        <w:rPr>
          <w:rFonts w:hint="eastAsia"/>
          <w:b/>
          <w:lang w:val="zh-TW"/>
        </w:rPr>
        <w:t>最大</w:t>
      </w:r>
      <w:r w:rsidRPr="004E2D26">
        <w:rPr>
          <w:rFonts w:hint="eastAsia"/>
          <w:b/>
        </w:rPr>
        <w:t>訂購門檻未考量各品項單價之差異、</w:t>
      </w:r>
      <w:r w:rsidRPr="004E2D26">
        <w:rPr>
          <w:rFonts w:hint="eastAsia"/>
          <w:b/>
          <w:lang w:val="zh-TW"/>
        </w:rPr>
        <w:t>商品市價通報機制形同虛設</w:t>
      </w:r>
      <w:r w:rsidRPr="004E2D26">
        <w:rPr>
          <w:rFonts w:hint="eastAsia"/>
          <w:b/>
        </w:rPr>
        <w:t>、未適當區分書籍年份及採購數量級距等缺失，</w:t>
      </w:r>
      <w:r w:rsidRPr="004E2D26">
        <w:rPr>
          <w:rFonts w:hint="eastAsia"/>
          <w:b/>
          <w:lang w:val="zh-TW"/>
        </w:rPr>
        <w:t>其</w:t>
      </w:r>
      <w:r w:rsidRPr="004E2D26">
        <w:rPr>
          <w:rFonts w:hAnsi="標楷體" w:hint="eastAsia"/>
          <w:b/>
          <w:szCs w:val="32"/>
        </w:rPr>
        <w:t>招決標作業流於形式</w:t>
      </w:r>
      <w:r w:rsidRPr="004E2D26">
        <w:rPr>
          <w:rFonts w:hint="eastAsia"/>
          <w:b/>
          <w:lang w:val="zh-TW"/>
        </w:rPr>
        <w:t>，致使</w:t>
      </w:r>
      <w:r w:rsidRPr="004E2D26">
        <w:rPr>
          <w:b/>
        </w:rPr>
        <w:t>契約價格</w:t>
      </w:r>
      <w:r w:rsidRPr="004E2D26">
        <w:rPr>
          <w:rFonts w:hint="eastAsia"/>
          <w:b/>
        </w:rPr>
        <w:t>偏離市場行情</w:t>
      </w:r>
      <w:r w:rsidRPr="004E2D26">
        <w:rPr>
          <w:rFonts w:hint="eastAsia"/>
          <w:b/>
          <w:lang w:val="zh-TW"/>
        </w:rPr>
        <w:t>，</w:t>
      </w:r>
      <w:r w:rsidRPr="004E2D26">
        <w:rPr>
          <w:rFonts w:hint="eastAsia"/>
          <w:b/>
        </w:rPr>
        <w:t>徒增鉅額公帑，</w:t>
      </w:r>
      <w:r w:rsidRPr="003E6BE4">
        <w:rPr>
          <w:rFonts w:hint="eastAsia"/>
          <w:b/>
        </w:rPr>
        <w:t>確</w:t>
      </w:r>
      <w:r w:rsidRPr="004E2D26">
        <w:rPr>
          <w:rFonts w:hint="eastAsia"/>
          <w:b/>
        </w:rPr>
        <w:t>有</w:t>
      </w:r>
      <w:r w:rsidRPr="004E2D26">
        <w:rPr>
          <w:rFonts w:hint="eastAsia"/>
          <w:b/>
          <w:lang w:val="zh-TW"/>
        </w:rPr>
        <w:t>違</w:t>
      </w:r>
      <w:r w:rsidRPr="004E2D26">
        <w:rPr>
          <w:rFonts w:hint="eastAsia"/>
          <w:b/>
        </w:rPr>
        <w:t>失。</w:t>
      </w:r>
      <w:bookmarkEnd w:id="33"/>
    </w:p>
    <w:p w:rsidR="00271BE3" w:rsidRPr="005C1E4B" w:rsidRDefault="00271BE3" w:rsidP="00271BE3">
      <w:pPr>
        <w:pStyle w:val="3"/>
        <w:kinsoku w:val="0"/>
      </w:pPr>
      <w:r w:rsidRPr="005C1E4B">
        <w:rPr>
          <w:rFonts w:hint="eastAsia"/>
          <w:color w:val="000000"/>
          <w:szCs w:val="52"/>
        </w:rPr>
        <w:t>按88</w:t>
      </w:r>
      <w:r w:rsidRPr="005C1E4B">
        <w:rPr>
          <w:color w:val="000000"/>
          <w:szCs w:val="52"/>
        </w:rPr>
        <w:t>年</w:t>
      </w:r>
      <w:r w:rsidRPr="005C1E4B">
        <w:rPr>
          <w:rFonts w:hint="eastAsia"/>
          <w:color w:val="000000"/>
          <w:szCs w:val="52"/>
        </w:rPr>
        <w:t>5</w:t>
      </w:r>
      <w:r w:rsidRPr="005C1E4B">
        <w:rPr>
          <w:color w:val="000000"/>
          <w:szCs w:val="52"/>
        </w:rPr>
        <w:t>月</w:t>
      </w:r>
      <w:r w:rsidRPr="005C1E4B">
        <w:rPr>
          <w:rFonts w:hint="eastAsia"/>
          <w:color w:val="000000"/>
          <w:szCs w:val="52"/>
        </w:rPr>
        <w:t>17</w:t>
      </w:r>
      <w:r w:rsidRPr="005C1E4B">
        <w:t>日</w:t>
      </w:r>
      <w:r w:rsidRPr="005C1E4B">
        <w:rPr>
          <w:color w:val="000000"/>
          <w:szCs w:val="52"/>
        </w:rPr>
        <w:t>工程會訂定發布</w:t>
      </w:r>
      <w:r w:rsidRPr="005C1E4B">
        <w:rPr>
          <w:rFonts w:hAnsi="標楷體" w:cs="HiddenHorzOCR" w:hint="eastAsia"/>
          <w:szCs w:val="32"/>
        </w:rPr>
        <w:t>「</w:t>
      </w:r>
      <w:r w:rsidRPr="005C1E4B">
        <w:rPr>
          <w:rFonts w:hint="eastAsia"/>
          <w:color w:val="000000"/>
          <w:szCs w:val="52"/>
        </w:rPr>
        <w:t>共同供應契約實施辦法</w:t>
      </w:r>
      <w:r w:rsidRPr="005C1E4B">
        <w:rPr>
          <w:rFonts w:hAnsi="標楷體" w:cs="HiddenHorzOCR" w:hint="eastAsia"/>
          <w:szCs w:val="32"/>
        </w:rPr>
        <w:t>」</w:t>
      </w:r>
      <w:r w:rsidRPr="005C1E4B">
        <w:rPr>
          <w:rFonts w:hint="eastAsia"/>
          <w:color w:val="000000"/>
          <w:szCs w:val="52"/>
        </w:rPr>
        <w:t>，以</w:t>
      </w:r>
      <w:r w:rsidRPr="005C1E4B">
        <w:rPr>
          <w:rFonts w:hint="eastAsia"/>
        </w:rPr>
        <w:t>辦理政府採購法第93條規定之共同供應契約，該實施辦法第2條第2項規定，</w:t>
      </w:r>
      <w:r w:rsidRPr="005C1E4B">
        <w:rPr>
          <w:rFonts w:hint="eastAsia"/>
          <w:color w:val="000000"/>
          <w:szCs w:val="52"/>
        </w:rPr>
        <w:t>政府採購法</w:t>
      </w:r>
      <w:r w:rsidRPr="005C1E4B">
        <w:rPr>
          <w:rFonts w:hint="eastAsia"/>
        </w:rPr>
        <w:t>第93條所稱共同供應契約，指一機關為二以上機關具有共通需求特性之財物或勞務與廠商簽訂契約，使該機關及其他適用本契約之機關均得利用本契約辦理採購者。又該實施辦法</w:t>
      </w:r>
      <w:r w:rsidRPr="005C1E4B">
        <w:t>第3條規定</w:t>
      </w:r>
      <w:r w:rsidRPr="005C1E4B">
        <w:rPr>
          <w:rFonts w:hint="eastAsia"/>
        </w:rPr>
        <w:t>，</w:t>
      </w:r>
      <w:r w:rsidRPr="005C1E4B">
        <w:t>訂約機關</w:t>
      </w:r>
      <w:r w:rsidRPr="005C1E4B">
        <w:rPr>
          <w:rFonts w:hint="eastAsia"/>
        </w:rPr>
        <w:t>係</w:t>
      </w:r>
      <w:r w:rsidRPr="005C1E4B">
        <w:t>指與廠商簽訂本契約之機關</w:t>
      </w:r>
      <w:r w:rsidRPr="005C1E4B">
        <w:rPr>
          <w:rFonts w:hint="eastAsia"/>
        </w:rPr>
        <w:t>，</w:t>
      </w:r>
      <w:r w:rsidRPr="005C1E4B">
        <w:t>適用機關</w:t>
      </w:r>
      <w:r w:rsidRPr="005C1E4B">
        <w:rPr>
          <w:rFonts w:hint="eastAsia"/>
        </w:rPr>
        <w:t>則</w:t>
      </w:r>
      <w:r w:rsidRPr="005C1E4B">
        <w:t>指應依本契約辦理採購之機關。</w:t>
      </w:r>
      <w:r w:rsidRPr="005C1E4B">
        <w:rPr>
          <w:rFonts w:hint="eastAsia"/>
        </w:rPr>
        <w:t>工程會依據</w:t>
      </w:r>
      <w:smartTag w:uri="urn:schemas-microsoft-com:office:smarttags" w:element="chsdate">
        <w:smartTagPr>
          <w:attr w:name="IsROCDate" w:val="False"/>
          <w:attr w:name="IsLunarDate" w:val="False"/>
          <w:attr w:name="Day" w:val="9"/>
          <w:attr w:name="Month" w:val="1"/>
          <w:attr w:name="Year" w:val="1998"/>
        </w:smartTagPr>
        <w:r w:rsidRPr="005C1E4B">
          <w:rPr>
            <w:rFonts w:hAnsi="標楷體" w:cs="HiddenHorzOCR" w:hint="eastAsia"/>
            <w:szCs w:val="32"/>
          </w:rPr>
          <w:t>98年1月9日</w:t>
        </w:r>
      </w:smartTag>
      <w:r w:rsidRPr="005C1E4B">
        <w:rPr>
          <w:rFonts w:hAnsi="標楷體" w:cs="HiddenHorzOCR" w:hint="eastAsia"/>
          <w:szCs w:val="32"/>
        </w:rPr>
        <w:t>修正之</w:t>
      </w:r>
      <w:r w:rsidRPr="005C1E4B">
        <w:rPr>
          <w:rFonts w:hint="eastAsia"/>
        </w:rPr>
        <w:t>「中央機關共同供應契約集中採購實施要點」指定訂約</w:t>
      </w:r>
      <w:r w:rsidRPr="005C1E4B">
        <w:rPr>
          <w:rFonts w:hint="eastAsia"/>
        </w:rPr>
        <w:lastRenderedPageBreak/>
        <w:t>機關及採購項目，其指定之</w:t>
      </w:r>
      <w:r w:rsidRPr="005C1E4B">
        <w:rPr>
          <w:rFonts w:hAnsi="標楷體" w:cs="HiddenHorzOCR" w:hint="eastAsia"/>
          <w:szCs w:val="32"/>
        </w:rPr>
        <w:t>訂約機關為內政部警政署、內政部消防署、國防部、教育部、</w:t>
      </w:r>
      <w:r w:rsidRPr="005C1E4B">
        <w:rPr>
          <w:rFonts w:hint="eastAsia"/>
          <w:color w:val="000000"/>
          <w:szCs w:val="52"/>
        </w:rPr>
        <w:t>國軍退除役官兵輔導委員會</w:t>
      </w:r>
      <w:r w:rsidRPr="005C1E4B">
        <w:rPr>
          <w:rFonts w:hAnsi="標楷體" w:cs="HiddenHorzOCR" w:hint="eastAsia"/>
          <w:szCs w:val="32"/>
        </w:rPr>
        <w:t>、</w:t>
      </w:r>
      <w:r w:rsidRPr="005C1E4B">
        <w:rPr>
          <w:rFonts w:hAnsi="標楷體" w:hint="eastAsia"/>
          <w:szCs w:val="32"/>
        </w:rPr>
        <w:t>行政院</w:t>
      </w:r>
      <w:r w:rsidRPr="005C1E4B">
        <w:rPr>
          <w:rFonts w:hAnsi="標楷體" w:cs="HiddenHorzOCR" w:hint="eastAsia"/>
          <w:szCs w:val="32"/>
        </w:rPr>
        <w:t>衛生署</w:t>
      </w:r>
      <w:r w:rsidRPr="005C1E4B">
        <w:rPr>
          <w:rFonts w:hAnsi="標楷體" w:hint="eastAsia"/>
          <w:szCs w:val="32"/>
        </w:rPr>
        <w:t>(於102年7月23日改制為衛生福利部)</w:t>
      </w:r>
      <w:r w:rsidRPr="005C1E4B">
        <w:rPr>
          <w:rFonts w:hAnsi="標楷體" w:cs="HiddenHorzOCR" w:hint="eastAsia"/>
          <w:szCs w:val="32"/>
        </w:rPr>
        <w:t>、</w:t>
      </w:r>
      <w:r w:rsidRPr="005C1E4B">
        <w:rPr>
          <w:rFonts w:hAnsi="標楷體" w:hint="eastAsia"/>
          <w:szCs w:val="32"/>
        </w:rPr>
        <w:t>行政院</w:t>
      </w:r>
      <w:r w:rsidRPr="005C1E4B">
        <w:rPr>
          <w:rFonts w:hAnsi="標楷體" w:cs="HiddenHorzOCR" w:hint="eastAsia"/>
          <w:szCs w:val="32"/>
        </w:rPr>
        <w:t>環境保護署及</w:t>
      </w:r>
      <w:r w:rsidRPr="005C1E4B">
        <w:rPr>
          <w:color w:val="000000"/>
          <w:szCs w:val="52"/>
        </w:rPr>
        <w:t>中央信託局股份有限公</w:t>
      </w:r>
      <w:r w:rsidRPr="005C1E4B">
        <w:rPr>
          <w:szCs w:val="52"/>
        </w:rPr>
        <w:t>司</w:t>
      </w:r>
      <w:r w:rsidRPr="005C1E4B">
        <w:rPr>
          <w:rFonts w:hint="eastAsia"/>
          <w:szCs w:val="52"/>
        </w:rPr>
        <w:t>(</w:t>
      </w:r>
      <w:r w:rsidRPr="005C1E4B">
        <w:rPr>
          <w:szCs w:val="52"/>
        </w:rPr>
        <w:t>下稱中信局</w:t>
      </w:r>
      <w:r w:rsidRPr="005C1E4B">
        <w:rPr>
          <w:rFonts w:hint="eastAsia"/>
          <w:szCs w:val="52"/>
        </w:rPr>
        <w:t>)</w:t>
      </w:r>
      <w:r w:rsidRPr="005C1E4B">
        <w:rPr>
          <w:rFonts w:hAnsi="標楷體" w:cs="HiddenHorzOCR" w:hint="eastAsia"/>
          <w:szCs w:val="32"/>
        </w:rPr>
        <w:t>等8個機關，其中96年7月1日</w:t>
      </w:r>
      <w:r w:rsidRPr="005C1E4B">
        <w:rPr>
          <w:szCs w:val="52"/>
        </w:rPr>
        <w:t>中信局</w:t>
      </w:r>
      <w:r w:rsidRPr="005C1E4B">
        <w:rPr>
          <w:rFonts w:hAnsi="標楷體" w:cs="HiddenHorzOCR" w:hint="eastAsia"/>
          <w:szCs w:val="32"/>
        </w:rPr>
        <w:t>與臺灣銀行合併，並以臺灣銀行為存續公司，由該銀行採購部辦理</w:t>
      </w:r>
      <w:r w:rsidRPr="005C1E4B">
        <w:rPr>
          <w:rFonts w:hint="eastAsia"/>
        </w:rPr>
        <w:t>共同供應契約之</w:t>
      </w:r>
      <w:r w:rsidRPr="005C1E4B">
        <w:rPr>
          <w:rFonts w:hAnsi="標楷體" w:cs="HiddenHorzOCR" w:hint="eastAsia"/>
          <w:szCs w:val="32"/>
        </w:rPr>
        <w:t>集中採購。</w:t>
      </w:r>
      <w:r w:rsidRPr="005C1E4B">
        <w:rPr>
          <w:rFonts w:hint="eastAsia"/>
        </w:rPr>
        <w:t>因此，臺灣銀行</w:t>
      </w:r>
      <w:r w:rsidRPr="005C1E4B">
        <w:t>代</w:t>
      </w:r>
      <w:r w:rsidRPr="005C1E4B">
        <w:rPr>
          <w:rFonts w:hint="eastAsia"/>
        </w:rPr>
        <w:t>理</w:t>
      </w:r>
      <w:r w:rsidRPr="005C1E4B">
        <w:t>各機關以共同供應契約方式辦理採購，為本契約之訂約機關，</w:t>
      </w:r>
      <w:r w:rsidRPr="005C1E4B">
        <w:rPr>
          <w:rFonts w:hint="eastAsia"/>
        </w:rPr>
        <w:t>而</w:t>
      </w:r>
      <w:r w:rsidRPr="005C1E4B">
        <w:t>委託</w:t>
      </w:r>
      <w:r w:rsidRPr="005C1E4B">
        <w:rPr>
          <w:rFonts w:hint="eastAsia"/>
        </w:rPr>
        <w:t>該銀行</w:t>
      </w:r>
      <w:r w:rsidRPr="005C1E4B">
        <w:t>辦理採購之機關(及其所屬機關)為適用機關。</w:t>
      </w:r>
    </w:p>
    <w:p w:rsidR="00271BE3" w:rsidRPr="005C1E4B" w:rsidRDefault="00271BE3" w:rsidP="00271BE3">
      <w:pPr>
        <w:pStyle w:val="3"/>
        <w:kinsoku w:val="0"/>
      </w:pPr>
      <w:r w:rsidRPr="005C1E4B">
        <w:rPr>
          <w:rFonts w:hAnsi="標楷體" w:cs="HiddenHorzOCR" w:hint="eastAsia"/>
          <w:szCs w:val="32"/>
        </w:rPr>
        <w:t>查</w:t>
      </w:r>
      <w:r w:rsidRPr="005C1E4B">
        <w:rPr>
          <w:rFonts w:hint="eastAsia"/>
        </w:rPr>
        <w:t>工程會政府電子採購網之共同供應契約系統自91年7月起，開始提供機關利用電子化方式進行訂購，又自92年起，提供人工傳真訂單補登功能。依據政府電子採購網資料，91年度訂約機關辦理共同供應契約之訂購總金額及訂單總件數分別為6.69億餘元及4,307筆，近年所有訂約機關辦理共同供應契約之每年訂購總金額已達700至千餘億元，顯見適用機關更加利用共同供應契約辦理共通需求特性之財物或勞務，另臺灣銀行每年接受其他機關委託代辦共同供應契約採購者之採購金額亦達300億元之多，若含工程會指定項目之總採購金額則約達500億元</w:t>
      </w:r>
      <w:r w:rsidRPr="005C1E4B">
        <w:rPr>
          <w:rFonts w:hint="eastAsia"/>
          <w:szCs w:val="32"/>
        </w:rPr>
        <w:t>(</w:t>
      </w:r>
      <w:r w:rsidRPr="005C1E4B">
        <w:rPr>
          <w:rFonts w:hint="eastAsia"/>
        </w:rPr>
        <w:t>每年</w:t>
      </w:r>
      <w:r w:rsidRPr="005C1E4B">
        <w:rPr>
          <w:rFonts w:hAnsi="標楷體" w:hint="eastAsia"/>
          <w:szCs w:val="32"/>
        </w:rPr>
        <w:t>訂購筆數可達60萬筆以上</w:t>
      </w:r>
      <w:r w:rsidRPr="005C1E4B">
        <w:rPr>
          <w:rFonts w:hint="eastAsia"/>
          <w:szCs w:val="32"/>
        </w:rPr>
        <w:t>)</w:t>
      </w:r>
      <w:r w:rsidRPr="005C1E4B">
        <w:rPr>
          <w:rFonts w:hint="eastAsia"/>
        </w:rPr>
        <w:t>，突顯臺灣銀行辦理之共同供應契約採購案，已成為全國中央及地方機關極為仰頼使用之對象。中信局與臺灣銀行於政府採購法施行後，辦理共同供應契約採購案之情形如下表所示：</w:t>
      </w:r>
    </w:p>
    <w:tbl>
      <w:tblPr>
        <w:tblW w:w="749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63"/>
        <w:gridCol w:w="667"/>
        <w:gridCol w:w="936"/>
        <w:gridCol w:w="994"/>
        <w:gridCol w:w="1117"/>
        <w:gridCol w:w="1498"/>
        <w:gridCol w:w="1717"/>
      </w:tblGrid>
      <w:tr w:rsidR="00271BE3" w:rsidRPr="005C1E4B" w:rsidTr="005054CC">
        <w:trPr>
          <w:trHeight w:val="20"/>
          <w:jc w:val="right"/>
        </w:trPr>
        <w:tc>
          <w:tcPr>
            <w:tcW w:w="1230" w:type="dxa"/>
            <w:gridSpan w:val="2"/>
          </w:tcPr>
          <w:p w:rsidR="00271BE3" w:rsidRPr="005C1E4B" w:rsidRDefault="00E61853" w:rsidP="005054CC">
            <w:pPr>
              <w:rPr>
                <w:rFonts w:ascii="標楷體" w:hAnsi="標楷體"/>
                <w:sz w:val="28"/>
                <w:szCs w:val="28"/>
              </w:rPr>
            </w:pPr>
            <w:r>
              <w:rPr>
                <w:rFonts w:ascii="標楷體" w:hAnsi="標楷體"/>
                <w:noProof/>
                <w:sz w:val="28"/>
                <w:szCs w:val="28"/>
              </w:rPr>
              <w:pict>
                <v:line id="_x0000_s1026" style="position:absolute;z-index:251660288" from=".15pt,-.5pt" to="57pt,31.45pt"/>
              </w:pict>
            </w:r>
            <w:r w:rsidR="00271BE3" w:rsidRPr="005C1E4B">
              <w:rPr>
                <w:rFonts w:ascii="標楷體" w:hAnsi="標楷體" w:hint="eastAsia"/>
                <w:sz w:val="28"/>
                <w:szCs w:val="28"/>
              </w:rPr>
              <w:t xml:space="preserve">    項目</w:t>
            </w:r>
          </w:p>
          <w:p w:rsidR="00271BE3" w:rsidRPr="005C1E4B" w:rsidRDefault="00271BE3" w:rsidP="005054CC">
            <w:pPr>
              <w:rPr>
                <w:rFonts w:ascii="標楷體" w:hAnsi="標楷體"/>
                <w:sz w:val="28"/>
                <w:szCs w:val="28"/>
              </w:rPr>
            </w:pPr>
            <w:r w:rsidRPr="005C1E4B">
              <w:rPr>
                <w:rFonts w:ascii="標楷體" w:hAnsi="標楷體" w:hint="eastAsia"/>
                <w:sz w:val="28"/>
                <w:szCs w:val="28"/>
              </w:rPr>
              <w:t>年度</w:t>
            </w:r>
          </w:p>
        </w:tc>
        <w:tc>
          <w:tcPr>
            <w:tcW w:w="936" w:type="dxa"/>
            <w:vAlign w:val="center"/>
          </w:tcPr>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決標</w:t>
            </w:r>
          </w:p>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案件</w:t>
            </w:r>
          </w:p>
        </w:tc>
        <w:tc>
          <w:tcPr>
            <w:tcW w:w="994" w:type="dxa"/>
            <w:vAlign w:val="center"/>
          </w:tcPr>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決標</w:t>
            </w:r>
          </w:p>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項次</w:t>
            </w:r>
          </w:p>
        </w:tc>
        <w:tc>
          <w:tcPr>
            <w:tcW w:w="1117" w:type="dxa"/>
            <w:vAlign w:val="center"/>
          </w:tcPr>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契約</w:t>
            </w:r>
          </w:p>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件數</w:t>
            </w:r>
          </w:p>
        </w:tc>
        <w:tc>
          <w:tcPr>
            <w:tcW w:w="1498" w:type="dxa"/>
            <w:vAlign w:val="center"/>
          </w:tcPr>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機關訂購</w:t>
            </w:r>
          </w:p>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筆數</w:t>
            </w:r>
          </w:p>
        </w:tc>
        <w:tc>
          <w:tcPr>
            <w:tcW w:w="1717" w:type="dxa"/>
            <w:vAlign w:val="center"/>
          </w:tcPr>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機關採購</w:t>
            </w:r>
          </w:p>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金額(</w:t>
            </w:r>
            <w:r w:rsidRPr="005C1E4B">
              <w:rPr>
                <w:rFonts w:hint="eastAsia"/>
                <w:sz w:val="28"/>
                <w:szCs w:val="28"/>
              </w:rPr>
              <w:t>千元</w:t>
            </w:r>
            <w:r w:rsidRPr="005C1E4B">
              <w:rPr>
                <w:rFonts w:ascii="標楷體" w:hAnsi="標楷體" w:hint="eastAsia"/>
                <w:sz w:val="28"/>
                <w:szCs w:val="28"/>
              </w:rPr>
              <w:t>)</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88</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w:t>
            </w:r>
          </w:p>
        </w:tc>
        <w:tc>
          <w:tcPr>
            <w:tcW w:w="994"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43</w:t>
            </w:r>
          </w:p>
        </w:tc>
        <w:tc>
          <w:tcPr>
            <w:tcW w:w="1117"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47</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2,561</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152,803</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lastRenderedPageBreak/>
              <w:t>89</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11</w:t>
            </w:r>
          </w:p>
        </w:tc>
        <w:tc>
          <w:tcPr>
            <w:tcW w:w="994"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161</w:t>
            </w:r>
          </w:p>
        </w:tc>
        <w:tc>
          <w:tcPr>
            <w:tcW w:w="1117"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121</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16,884</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3,208,855</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90</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22</w:t>
            </w:r>
          </w:p>
        </w:tc>
        <w:tc>
          <w:tcPr>
            <w:tcW w:w="994"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590</w:t>
            </w:r>
          </w:p>
        </w:tc>
        <w:tc>
          <w:tcPr>
            <w:tcW w:w="1117"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361</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54,435</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10,432,954</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91</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26</w:t>
            </w:r>
          </w:p>
        </w:tc>
        <w:tc>
          <w:tcPr>
            <w:tcW w:w="994"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812</w:t>
            </w:r>
          </w:p>
        </w:tc>
        <w:tc>
          <w:tcPr>
            <w:tcW w:w="1117"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1,154</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94,466</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14,135,992</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92</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38</w:t>
            </w:r>
          </w:p>
        </w:tc>
        <w:tc>
          <w:tcPr>
            <w:tcW w:w="994"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2,394</w:t>
            </w:r>
          </w:p>
        </w:tc>
        <w:tc>
          <w:tcPr>
            <w:tcW w:w="1117"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4,081</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164,157</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21,904,139</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93</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41</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2,825</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5,286</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260,137</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26,304,030</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94</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31</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2,870</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5,727</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353,114</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29,322,397</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95</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66</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2,963</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6,364</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451,255</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35,149,327</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96</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75</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5,163</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8,259</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553,478</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37,637,331</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97</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92</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6,338</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7,960</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550,765</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46,131,516</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98</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75</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5,270</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9,706</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694,674</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52,771,851</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99</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82</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6,120</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11,951</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sz w:val="28"/>
                <w:szCs w:val="28"/>
              </w:rPr>
              <w:t>655,943</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sz w:val="28"/>
                <w:szCs w:val="28"/>
              </w:rPr>
              <w:t>45,387,02</w:t>
            </w:r>
            <w:r w:rsidRPr="005C1E4B">
              <w:rPr>
                <w:rFonts w:ascii="標楷體" w:hAnsi="標楷體" w:hint="eastAsia"/>
                <w:sz w:val="28"/>
                <w:szCs w:val="28"/>
              </w:rPr>
              <w:t>5</w:t>
            </w:r>
          </w:p>
        </w:tc>
      </w:tr>
      <w:tr w:rsidR="00271BE3" w:rsidRPr="005C1E4B" w:rsidTr="005054CC">
        <w:trPr>
          <w:trHeight w:val="460"/>
          <w:jc w:val="right"/>
        </w:trPr>
        <w:tc>
          <w:tcPr>
            <w:tcW w:w="563" w:type="dxa"/>
            <w:vMerge w:val="restart"/>
            <w:shd w:val="clear" w:color="auto" w:fill="auto"/>
            <w:vAlign w:val="center"/>
          </w:tcPr>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工</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程</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會</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指</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定</w:t>
            </w: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100</w:t>
            </w:r>
          </w:p>
        </w:tc>
        <w:tc>
          <w:tcPr>
            <w:tcW w:w="936" w:type="dxa"/>
            <w:vAlign w:val="center"/>
          </w:tcPr>
          <w:p w:rsidR="00271BE3" w:rsidRPr="005C1E4B" w:rsidRDefault="00271BE3" w:rsidP="005054CC">
            <w:pPr>
              <w:jc w:val="center"/>
              <w:rPr>
                <w:rFonts w:ascii="新細明體" w:hAnsi="新細明體" w:cs="新細明體"/>
                <w:sz w:val="28"/>
                <w:szCs w:val="28"/>
              </w:rPr>
            </w:pPr>
            <w:r w:rsidRPr="005C1E4B">
              <w:rPr>
                <w:rFonts w:cs="新細明體" w:hint="eastAsia"/>
                <w:sz w:val="28"/>
                <w:szCs w:val="28"/>
              </w:rPr>
              <w:t>1</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28</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226,394</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6,267,817</w:t>
            </w:r>
          </w:p>
        </w:tc>
      </w:tr>
      <w:tr w:rsidR="00271BE3" w:rsidRPr="005C1E4B" w:rsidTr="005054CC">
        <w:trPr>
          <w:trHeight w:val="460"/>
          <w:jc w:val="right"/>
        </w:trPr>
        <w:tc>
          <w:tcPr>
            <w:tcW w:w="563" w:type="dxa"/>
            <w:vMerge/>
            <w:shd w:val="clear" w:color="auto" w:fill="auto"/>
            <w:vAlign w:val="center"/>
          </w:tcPr>
          <w:p w:rsidR="00271BE3" w:rsidRPr="005C1E4B" w:rsidRDefault="00271BE3" w:rsidP="005054CC">
            <w:pPr>
              <w:jc w:val="center"/>
              <w:rPr>
                <w:rFonts w:ascii="標楷體" w:hAnsi="標楷體"/>
                <w:sz w:val="28"/>
                <w:szCs w:val="28"/>
              </w:rPr>
            </w:pP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101</w:t>
            </w:r>
          </w:p>
        </w:tc>
        <w:tc>
          <w:tcPr>
            <w:tcW w:w="936" w:type="dxa"/>
            <w:vAlign w:val="center"/>
          </w:tcPr>
          <w:p w:rsidR="00271BE3" w:rsidRPr="005C1E4B" w:rsidRDefault="00271BE3" w:rsidP="005054CC">
            <w:pPr>
              <w:jc w:val="center"/>
              <w:rPr>
                <w:rFonts w:ascii="新細明體" w:hAnsi="新細明體" w:cs="新細明體"/>
                <w:sz w:val="28"/>
                <w:szCs w:val="28"/>
              </w:rPr>
            </w:pPr>
            <w:r w:rsidRPr="005C1E4B">
              <w:rPr>
                <w:rFonts w:cs="新細明體" w:hint="eastAsia"/>
                <w:sz w:val="28"/>
                <w:szCs w:val="28"/>
              </w:rPr>
              <w:t>3</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12</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35</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295,446</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7,815,327</w:t>
            </w:r>
          </w:p>
        </w:tc>
      </w:tr>
      <w:tr w:rsidR="00271BE3" w:rsidRPr="005C1E4B" w:rsidTr="005054CC">
        <w:trPr>
          <w:trHeight w:val="460"/>
          <w:jc w:val="right"/>
        </w:trPr>
        <w:tc>
          <w:tcPr>
            <w:tcW w:w="563" w:type="dxa"/>
            <w:vMerge/>
            <w:shd w:val="clear" w:color="auto" w:fill="auto"/>
            <w:vAlign w:val="center"/>
          </w:tcPr>
          <w:p w:rsidR="00271BE3" w:rsidRPr="005C1E4B" w:rsidRDefault="00271BE3" w:rsidP="005054CC">
            <w:pPr>
              <w:jc w:val="center"/>
              <w:rPr>
                <w:rFonts w:ascii="標楷體" w:hAnsi="標楷體"/>
                <w:sz w:val="28"/>
                <w:szCs w:val="28"/>
              </w:rPr>
            </w:pP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102</w:t>
            </w:r>
          </w:p>
        </w:tc>
        <w:tc>
          <w:tcPr>
            <w:tcW w:w="936" w:type="dxa"/>
            <w:vAlign w:val="center"/>
          </w:tcPr>
          <w:p w:rsidR="00271BE3" w:rsidRPr="005C1E4B" w:rsidRDefault="00271BE3" w:rsidP="005054CC">
            <w:pPr>
              <w:jc w:val="center"/>
              <w:rPr>
                <w:rFonts w:ascii="新細明體" w:hAnsi="新細明體" w:cs="新細明體"/>
                <w:sz w:val="28"/>
                <w:szCs w:val="28"/>
              </w:rPr>
            </w:pPr>
            <w:r w:rsidRPr="005C1E4B">
              <w:rPr>
                <w:rFonts w:cs="新細明體" w:hint="eastAsia"/>
                <w:sz w:val="28"/>
                <w:szCs w:val="28"/>
              </w:rPr>
              <w:t>1</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28</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233,350</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6,600,565</w:t>
            </w:r>
          </w:p>
        </w:tc>
      </w:tr>
      <w:tr w:rsidR="00271BE3" w:rsidRPr="005C1E4B" w:rsidTr="005054CC">
        <w:trPr>
          <w:trHeight w:val="553"/>
          <w:jc w:val="right"/>
        </w:trPr>
        <w:tc>
          <w:tcPr>
            <w:tcW w:w="563" w:type="dxa"/>
            <w:vMerge w:val="restart"/>
            <w:shd w:val="clear" w:color="auto" w:fill="auto"/>
            <w:vAlign w:val="center"/>
          </w:tcPr>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接</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受</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委</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託</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代</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辦</w:t>
            </w: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100</w:t>
            </w:r>
          </w:p>
        </w:tc>
        <w:tc>
          <w:tcPr>
            <w:tcW w:w="936" w:type="dxa"/>
            <w:vAlign w:val="center"/>
          </w:tcPr>
          <w:p w:rsidR="00271BE3" w:rsidRPr="005C1E4B" w:rsidRDefault="00271BE3" w:rsidP="005054CC">
            <w:pPr>
              <w:jc w:val="center"/>
              <w:rPr>
                <w:rFonts w:cs="新細明體"/>
                <w:sz w:val="28"/>
                <w:szCs w:val="28"/>
              </w:rPr>
            </w:pPr>
            <w:r w:rsidRPr="005C1E4B">
              <w:rPr>
                <w:rFonts w:cs="新細明體" w:hint="eastAsia"/>
                <w:sz w:val="28"/>
                <w:szCs w:val="28"/>
              </w:rPr>
              <w:t>103</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8,132</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12,566</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322,844</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35,297,500</w:t>
            </w:r>
          </w:p>
        </w:tc>
      </w:tr>
      <w:tr w:rsidR="00271BE3" w:rsidRPr="005C1E4B" w:rsidTr="005054CC">
        <w:trPr>
          <w:trHeight w:val="553"/>
          <w:jc w:val="right"/>
        </w:trPr>
        <w:tc>
          <w:tcPr>
            <w:tcW w:w="563" w:type="dxa"/>
            <w:vMerge/>
            <w:shd w:val="clear" w:color="auto" w:fill="auto"/>
          </w:tcPr>
          <w:p w:rsidR="00271BE3" w:rsidRPr="005C1E4B" w:rsidRDefault="00271BE3" w:rsidP="005054CC">
            <w:pPr>
              <w:adjustRightInd w:val="0"/>
              <w:snapToGrid w:val="0"/>
              <w:spacing w:line="500" w:lineRule="exact"/>
              <w:jc w:val="center"/>
              <w:rPr>
                <w:rFonts w:ascii="標楷體" w:hAnsi="標楷體"/>
                <w:sz w:val="28"/>
                <w:szCs w:val="28"/>
              </w:rPr>
            </w:pP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101</w:t>
            </w:r>
          </w:p>
        </w:tc>
        <w:tc>
          <w:tcPr>
            <w:tcW w:w="936" w:type="dxa"/>
            <w:vAlign w:val="center"/>
          </w:tcPr>
          <w:p w:rsidR="00271BE3" w:rsidRPr="005C1E4B" w:rsidRDefault="00271BE3" w:rsidP="005054CC">
            <w:pPr>
              <w:jc w:val="center"/>
              <w:rPr>
                <w:rFonts w:cs="新細明體"/>
                <w:sz w:val="28"/>
                <w:szCs w:val="28"/>
              </w:rPr>
            </w:pPr>
            <w:r w:rsidRPr="005C1E4B">
              <w:rPr>
                <w:rFonts w:cs="新細明體" w:hint="eastAsia"/>
                <w:sz w:val="28"/>
                <w:szCs w:val="28"/>
              </w:rPr>
              <w:t>92</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8,361</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11,323</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371,149</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37,751,656</w:t>
            </w:r>
          </w:p>
        </w:tc>
      </w:tr>
      <w:tr w:rsidR="00271BE3" w:rsidRPr="005C1E4B" w:rsidTr="005054CC">
        <w:trPr>
          <w:trHeight w:val="554"/>
          <w:jc w:val="right"/>
        </w:trPr>
        <w:tc>
          <w:tcPr>
            <w:tcW w:w="563" w:type="dxa"/>
            <w:vMerge/>
            <w:shd w:val="clear" w:color="auto" w:fill="auto"/>
          </w:tcPr>
          <w:p w:rsidR="00271BE3" w:rsidRPr="005C1E4B" w:rsidRDefault="00271BE3" w:rsidP="005054CC">
            <w:pPr>
              <w:adjustRightInd w:val="0"/>
              <w:snapToGrid w:val="0"/>
              <w:spacing w:line="500" w:lineRule="exact"/>
              <w:jc w:val="center"/>
              <w:rPr>
                <w:rFonts w:ascii="標楷體" w:hAnsi="標楷體"/>
                <w:sz w:val="28"/>
                <w:szCs w:val="28"/>
              </w:rPr>
            </w:pP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102</w:t>
            </w:r>
          </w:p>
        </w:tc>
        <w:tc>
          <w:tcPr>
            <w:tcW w:w="936" w:type="dxa"/>
            <w:vAlign w:val="center"/>
          </w:tcPr>
          <w:p w:rsidR="00271BE3" w:rsidRPr="005C1E4B" w:rsidRDefault="00271BE3" w:rsidP="005054CC">
            <w:pPr>
              <w:jc w:val="center"/>
              <w:rPr>
                <w:rFonts w:cs="新細明體"/>
                <w:sz w:val="28"/>
                <w:szCs w:val="28"/>
              </w:rPr>
            </w:pPr>
            <w:r w:rsidRPr="005C1E4B">
              <w:rPr>
                <w:rFonts w:cs="新細明體" w:hint="eastAsia"/>
                <w:sz w:val="28"/>
                <w:szCs w:val="28"/>
              </w:rPr>
              <w:t>61</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2,423</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5,506</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233,423</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26,945,969</w:t>
            </w:r>
          </w:p>
        </w:tc>
      </w:tr>
    </w:tbl>
    <w:p w:rsidR="00271BE3" w:rsidRPr="005C1E4B" w:rsidRDefault="00271BE3" w:rsidP="00271BE3">
      <w:pPr>
        <w:pStyle w:val="3"/>
        <w:numPr>
          <w:ilvl w:val="0"/>
          <w:numId w:val="0"/>
        </w:numPr>
        <w:spacing w:line="240" w:lineRule="exact"/>
        <w:ind w:left="1395"/>
      </w:pPr>
    </w:p>
    <w:p w:rsidR="00271BE3" w:rsidRPr="005C1E4B" w:rsidRDefault="00271BE3" w:rsidP="00271BE3">
      <w:pPr>
        <w:pStyle w:val="3"/>
        <w:kinsoku w:val="0"/>
      </w:pPr>
      <w:r w:rsidRPr="005C1E4B">
        <w:rPr>
          <w:rFonts w:hint="eastAsia"/>
        </w:rPr>
        <w:t>次查</w:t>
      </w:r>
      <w:r w:rsidRPr="005C1E4B">
        <w:t>共同供應契約</w:t>
      </w:r>
      <w:r w:rsidRPr="005C1E4B">
        <w:rPr>
          <w:szCs w:val="32"/>
        </w:rPr>
        <w:t>採購</w:t>
      </w:r>
      <w:r w:rsidRPr="005C1E4B">
        <w:t>案</w:t>
      </w:r>
      <w:r w:rsidRPr="005C1E4B">
        <w:rPr>
          <w:rFonts w:hint="eastAsia"/>
        </w:rPr>
        <w:t>由</w:t>
      </w:r>
      <w:r w:rsidRPr="005C1E4B">
        <w:t>臺灣銀行</w:t>
      </w:r>
      <w:r w:rsidRPr="005C1E4B">
        <w:rPr>
          <w:rFonts w:hint="eastAsia"/>
        </w:rPr>
        <w:t>訂定</w:t>
      </w:r>
      <w:r w:rsidRPr="005C1E4B">
        <w:t>底價</w:t>
      </w:r>
      <w:r w:rsidRPr="005C1E4B">
        <w:rPr>
          <w:rFonts w:hint="eastAsia"/>
        </w:rPr>
        <w:t>者，</w:t>
      </w:r>
      <w:r w:rsidRPr="005C1E4B">
        <w:t>係由</w:t>
      </w:r>
      <w:r w:rsidRPr="005C1E4B">
        <w:rPr>
          <w:rFonts w:hint="eastAsia"/>
        </w:rPr>
        <w:t>該</w:t>
      </w:r>
      <w:r w:rsidRPr="005C1E4B">
        <w:t>銀行</w:t>
      </w:r>
      <w:r w:rsidRPr="005C1E4B">
        <w:rPr>
          <w:rFonts w:hint="eastAsia"/>
        </w:rPr>
        <w:t>採購部所組成之</w:t>
      </w:r>
      <w:r w:rsidRPr="005C1E4B">
        <w:t>工作小組辦理詢價作業</w:t>
      </w:r>
      <w:r w:rsidRPr="005C1E4B">
        <w:rPr>
          <w:rFonts w:hint="eastAsia"/>
        </w:rPr>
        <w:t>及</w:t>
      </w:r>
      <w:r w:rsidRPr="005C1E4B">
        <w:t>擬訂預估底價，再經底價審議小組審議後</w:t>
      </w:r>
      <w:r w:rsidRPr="005C1E4B">
        <w:rPr>
          <w:rFonts w:hint="eastAsia"/>
        </w:rPr>
        <w:t>，</w:t>
      </w:r>
      <w:r w:rsidRPr="005C1E4B">
        <w:t>報請</w:t>
      </w:r>
      <w:r w:rsidRPr="005C1E4B">
        <w:rPr>
          <w:rFonts w:hint="eastAsia"/>
        </w:rPr>
        <w:t>該</w:t>
      </w:r>
      <w:r w:rsidRPr="005C1E4B">
        <w:t>銀行</w:t>
      </w:r>
      <w:r w:rsidRPr="005C1E4B">
        <w:rPr>
          <w:rFonts w:hint="eastAsia"/>
        </w:rPr>
        <w:t>採購</w:t>
      </w:r>
      <w:r w:rsidRPr="005C1E4B">
        <w:t>單位主管核定</w:t>
      </w:r>
      <w:r w:rsidRPr="005C1E4B">
        <w:rPr>
          <w:rFonts w:hint="eastAsia"/>
        </w:rPr>
        <w:t>。然</w:t>
      </w:r>
      <w:r w:rsidRPr="005C1E4B">
        <w:rPr>
          <w:rFonts w:hint="eastAsia"/>
          <w:lang w:val="zh-TW"/>
        </w:rPr>
        <w:t>由於3C等資訊類產業生產相關技術不斷進步，該類產品技術更新快速，生命週期較短，當市場推出新型產品時，舊機型會降價出清產品，而共同供應契約有一定契約期限，致契約價格於後期略高於市場價格，且契約產品已非最新機型。雖</w:t>
      </w:r>
      <w:r w:rsidRPr="005C1E4B">
        <w:t>臺灣銀行</w:t>
      </w:r>
      <w:r w:rsidRPr="005C1E4B">
        <w:rPr>
          <w:rFonts w:hint="eastAsia"/>
        </w:rPr>
        <w:t>簽訂之</w:t>
      </w:r>
      <w:r w:rsidRPr="005C1E4B">
        <w:rPr>
          <w:rFonts w:hint="eastAsia"/>
          <w:lang w:val="zh-TW"/>
        </w:rPr>
        <w:t>共同供應契約條款已有規定：</w:t>
      </w:r>
      <w:r w:rsidRPr="005C1E4B">
        <w:rPr>
          <w:rFonts w:hAnsi="標楷體" w:hint="eastAsia"/>
          <w:kern w:val="2"/>
          <w:szCs w:val="32"/>
        </w:rPr>
        <w:t>「立約商於本契約之有效期間內，如有下列情形之一，應同意一併適用於本契約所有訂購機關，立約商無合理事由而不同意者，臺灣銀行採購部得暫停立約商接受訂購或逕行終止契約：1.對一般大眾提供</w:t>
      </w:r>
      <w:r w:rsidRPr="005C1E4B">
        <w:rPr>
          <w:rFonts w:hAnsi="標楷體" w:hint="eastAsia"/>
          <w:kern w:val="2"/>
          <w:szCs w:val="32"/>
        </w:rPr>
        <w:lastRenderedPageBreak/>
        <w:t>價格/非價格促銷活動，其條件優於本契約者；2.以更優惠之價格或條件(不含大額議價規定)供應各項契約產品予某特定訂購機關或他人者。」</w:t>
      </w:r>
      <w:r w:rsidRPr="005C1E4B">
        <w:rPr>
          <w:rFonts w:hint="eastAsia"/>
          <w:lang w:val="zh-TW"/>
        </w:rPr>
        <w:t>及「履約期間，如訂購機關認為立約商提供之產品機型過時或遭淘汰，立約商亦同意改以同等級或較高級新型之產品取代者，訂購機關得自行評估認定接受後訂購，立約商按該同等級或較高級新型之產品交貨，訂購機關按該同等級或較高級新型之規範驗收。」惟廠商未配合市場行情而主動降價，或訂購機關難以或怠於詢價，致有採購高於市場價格產品之情形；且訂購機關</w:t>
      </w:r>
      <w:r w:rsidRPr="005C1E4B">
        <w:rPr>
          <w:rFonts w:hint="eastAsia"/>
        </w:rPr>
        <w:t>使用臺灣銀行共同供應契約網路系統採購時，雖有視窗詢問是否知悉共同供應契約價格高於市價，如勾選「是」時，即不得進入採購程序，如勾選「否」時方可進行採購程序，惟採購人員怠於訪價時，仍可逕行勾選「否」以使用共同</w:t>
      </w:r>
      <w:r w:rsidR="00B65A44">
        <w:rPr>
          <w:rFonts w:hint="eastAsia"/>
        </w:rPr>
        <w:t>供應</w:t>
      </w:r>
      <w:r w:rsidRPr="005C1E4B">
        <w:rPr>
          <w:rFonts w:hint="eastAsia"/>
        </w:rPr>
        <w:t>契約價格進行採購。又</w:t>
      </w:r>
      <w:r w:rsidRPr="005C1E4B">
        <w:rPr>
          <w:rFonts w:hint="eastAsia"/>
          <w:lang w:val="zh-TW"/>
        </w:rPr>
        <w:t>廉政署</w:t>
      </w:r>
      <w:r w:rsidRPr="005C1E4B">
        <w:rPr>
          <w:rFonts w:hAnsi="標楷體" w:hint="eastAsia"/>
          <w:color w:val="000000"/>
          <w:szCs w:val="32"/>
        </w:rPr>
        <w:t>於102年8月23日函請全國各主管機關政風機構清查各機關102年上半年利用共同供應契約辦理10萬元以上採購案有無落實進行訪、詢價之結果，發現辦理採購前，採購單位有就採購品項進行訪、詢價之件數共4,157件(採購金額為29.5億餘元)，占總件數50.06％，未進行訪、詢價之件數共4,147件(採購金額為30.1億餘元)，占總件數49.94％。</w:t>
      </w:r>
    </w:p>
    <w:p w:rsidR="00271BE3" w:rsidRPr="005C1E4B" w:rsidRDefault="00271BE3" w:rsidP="00271BE3">
      <w:pPr>
        <w:pStyle w:val="3"/>
        <w:kinsoku w:val="0"/>
      </w:pPr>
      <w:r w:rsidRPr="005C1E4B">
        <w:rPr>
          <w:rFonts w:cs="標楷體" w:hint="eastAsia"/>
          <w:szCs w:val="32"/>
          <w:lang w:val="zh-TW"/>
        </w:rPr>
        <w:t>再查司法機關偵辦共同供應契約所衍生之貪瀆案件，發現其主要犯罪手法及違失情形為廠商或中間人，利用民意代表爭取補助款予機關訂購指定廠商產品，再以回扣朋分利益，至於有利可圖，則來自於決標單價高於市場行情，以致有超額利潤行賄，或決標單價雖係一般行情，卻以此一</w:t>
      </w:r>
      <w:r w:rsidRPr="005C1E4B">
        <w:rPr>
          <w:rFonts w:cs="標楷體" w:hint="eastAsia"/>
          <w:szCs w:val="32"/>
          <w:lang w:val="zh-TW"/>
        </w:rPr>
        <w:lastRenderedPageBreak/>
        <w:t>價格推銷滯銷低價產品。如</w:t>
      </w:r>
      <w:r w:rsidRPr="005C1E4B">
        <w:rPr>
          <w:rFonts w:hint="eastAsia"/>
          <w:lang w:val="zh-TW"/>
        </w:rPr>
        <w:t>廉政署偵辦102年間之LED路燈共同供應契約弊案之檢舉人證稱：「廠商所提供之回扣款項為採購金額的35％到50％之鉅。」且執行通訊監察發現，廠商與掮客間談論之回扣款項比例與檢舉人所稱相同，分配公務員在5％至10％之間，顯見共同供應契約決標單價確高於市場行情，其他司法機關偵辦類此共同供應契約案件，亦均有此現象</w:t>
      </w:r>
      <w:r w:rsidRPr="005C1E4B">
        <w:rPr>
          <w:rFonts w:hint="eastAsia"/>
        </w:rPr>
        <w:t>。另據</w:t>
      </w:r>
      <w:r w:rsidRPr="005C1E4B">
        <w:rPr>
          <w:rFonts w:hint="eastAsia"/>
          <w:lang w:val="zh-TW"/>
        </w:rPr>
        <w:t>廉政署統計102年1月1日至9月30日止，各訂購機關利用政府電子採購網「品項價格高於市價通報」回饋情形，僅有44件通報，扣除機關誤通報20件，僅餘24件有效通報，而期間計有36萬餘筆機關訂購筆數，則有效通報者僅佔0.0066％，微乎其微，此項商品市價通報機制形同虛設，更遑論藉此通報機制促請臺灣銀行積極查價，適時洽共同供應契約廠商減價</w:t>
      </w:r>
      <w:r w:rsidRPr="005C1E4B">
        <w:rPr>
          <w:rFonts w:cs="標楷體" w:hint="eastAsia"/>
          <w:szCs w:val="32"/>
          <w:lang w:val="zh-TW"/>
        </w:rPr>
        <w:t>。</w:t>
      </w:r>
    </w:p>
    <w:p w:rsidR="00271BE3" w:rsidRPr="005C1E4B" w:rsidRDefault="00271BE3" w:rsidP="00271BE3">
      <w:pPr>
        <w:pStyle w:val="3"/>
        <w:kinsoku w:val="0"/>
      </w:pPr>
      <w:r w:rsidRPr="005C1E4B">
        <w:rPr>
          <w:rFonts w:hint="eastAsia"/>
          <w:lang w:val="zh-TW"/>
        </w:rPr>
        <w:t>復查廉政署調查</w:t>
      </w:r>
      <w:r w:rsidRPr="005C1E4B">
        <w:rPr>
          <w:rFonts w:cs="標楷體" w:hint="eastAsia"/>
          <w:szCs w:val="32"/>
          <w:lang w:val="zh-TW"/>
        </w:rPr>
        <w:t>各機關102年上半年利用共同供應契約辦理10萬元以上採購之開放式意見或建議中，</w:t>
      </w:r>
      <w:r w:rsidRPr="005C1E4B">
        <w:rPr>
          <w:rFonts w:hAnsi="標楷體" w:hint="eastAsia"/>
          <w:color w:val="000000"/>
          <w:szCs w:val="32"/>
        </w:rPr>
        <w:t>計有19個主管機關曾發現共同供應契約價格高於市價之品項，以</w:t>
      </w:r>
      <w:smartTag w:uri="urn:schemas-microsoft-com:office:smarttags" w:element="chmetcnv">
        <w:smartTagPr>
          <w:attr w:name="TCSC" w:val="0"/>
          <w:attr w:name="NumberType" w:val="1"/>
          <w:attr w:name="Negative" w:val="False"/>
          <w:attr w:name="HasSpace" w:val="False"/>
          <w:attr w:name="SourceValue" w:val="3"/>
          <w:attr w:name="UnitName" w:val="C"/>
        </w:smartTagPr>
        <w:r w:rsidRPr="005C1E4B">
          <w:rPr>
            <w:rFonts w:hAnsi="標楷體" w:hint="eastAsia"/>
            <w:color w:val="000000"/>
            <w:szCs w:val="32"/>
          </w:rPr>
          <w:t>3C</w:t>
        </w:r>
      </w:smartTag>
      <w:r w:rsidRPr="005C1E4B">
        <w:rPr>
          <w:rFonts w:hAnsi="標楷體" w:hint="eastAsia"/>
          <w:color w:val="000000"/>
          <w:szCs w:val="32"/>
        </w:rPr>
        <w:t>資訊產品居多</w:t>
      </w:r>
      <w:r w:rsidRPr="005C1E4B">
        <w:rPr>
          <w:rFonts w:cs="標楷體" w:hint="eastAsia"/>
          <w:szCs w:val="32"/>
          <w:lang w:val="zh-TW"/>
        </w:rPr>
        <w:t>，另</w:t>
      </w:r>
      <w:r w:rsidRPr="005C1E4B">
        <w:rPr>
          <w:rFonts w:hAnsi="標楷體" w:hint="eastAsia"/>
          <w:color w:val="000000"/>
          <w:szCs w:val="32"/>
        </w:rPr>
        <w:t>有28個主管機關提出113項建議案，主要反映意見略以：</w:t>
      </w:r>
      <w:r w:rsidRPr="005C1E4B">
        <w:t>「</w:t>
      </w:r>
      <w:r w:rsidRPr="005C1E4B">
        <w:rPr>
          <w:rFonts w:hint="eastAsia"/>
          <w:lang w:val="zh-TW"/>
        </w:rPr>
        <w:t>共同供應契約決標價偏離市場行情，有可能是同行廠商聯合壟斷、產品生命週期更迭快速等因素所導致，代辦機關可考慮縮短期限(如資訊類產品)、階段式減價、降低採購折扣議價門檻及加強市場行情查價等方式拉近與市場行情之落差</w:t>
      </w:r>
      <w:r w:rsidRPr="005C1E4B">
        <w:t>。</w:t>
      </w:r>
      <w:r w:rsidRPr="005C1E4B">
        <w:rPr>
          <w:rFonts w:hint="eastAsia"/>
          <w:lang w:val="zh-TW"/>
        </w:rPr>
        <w:t>非由全部之適用機關一一去訪、詢價，以免失去節省人力、發揮大量採購之經濟效益。建議提供『市價查詢平臺機制』或由公信單位固定訪價。建議臺灣銀行簽訂時，與各承攬廠</w:t>
      </w:r>
      <w:r w:rsidRPr="005C1E4B">
        <w:rPr>
          <w:rFonts w:hint="eastAsia"/>
          <w:lang w:val="zh-TW"/>
        </w:rPr>
        <w:lastRenderedPageBreak/>
        <w:t>商訂定『產品浮動計價方式』，或於契約內『賦予共同供應契約廠商，保證供應價格低於市價之義務與責任』。規格規範有時略有差異，與市場規格不同，價格上無法比價，且應考量品牌價值，如採一律單一決標價，難反映市場真實需求。</w:t>
      </w:r>
      <w:r w:rsidRPr="005C1E4B">
        <w:t>」</w:t>
      </w:r>
      <w:r w:rsidRPr="005C1E4B">
        <w:rPr>
          <w:rFonts w:hint="eastAsia"/>
        </w:rPr>
        <w:t>另</w:t>
      </w:r>
      <w:r w:rsidRPr="005C1E4B">
        <w:rPr>
          <w:rFonts w:hint="eastAsia"/>
          <w:lang w:val="zh-TW"/>
        </w:rPr>
        <w:t>廉政署之</w:t>
      </w:r>
      <w:r w:rsidRPr="005C1E4B">
        <w:rPr>
          <w:rFonts w:cs="標楷體" w:hint="eastAsia"/>
          <w:szCs w:val="32"/>
          <w:lang w:val="zh-TW"/>
        </w:rPr>
        <w:t>相關研析報告指出：「</w:t>
      </w:r>
      <w:r w:rsidRPr="005C1E4B">
        <w:rPr>
          <w:rFonts w:hAnsi="標楷體" w:cs="HiddenHorzOCR" w:hint="eastAsia"/>
        </w:rPr>
        <w:t>共同供應契約採購制度自</w:t>
      </w:r>
      <w:r w:rsidRPr="005C1E4B">
        <w:rPr>
          <w:rFonts w:hAnsi="標楷體" w:cs="HiddenHorzOCR"/>
        </w:rPr>
        <w:t>88</w:t>
      </w:r>
      <w:r w:rsidRPr="005C1E4B">
        <w:rPr>
          <w:rFonts w:hAnsi="標楷體" w:cs="HiddenHorzOCR" w:hint="eastAsia"/>
        </w:rPr>
        <w:t>年施行以</w:t>
      </w:r>
      <w:r w:rsidRPr="005C1E4B">
        <w:rPr>
          <w:rFonts w:hint="eastAsia"/>
        </w:rPr>
        <w:t>來，機關採購金額自</w:t>
      </w:r>
      <w:r w:rsidRPr="005C1E4B">
        <w:t>88</w:t>
      </w:r>
      <w:r w:rsidRPr="005C1E4B">
        <w:rPr>
          <w:rFonts w:hint="eastAsia"/>
        </w:rPr>
        <w:t>年的</w:t>
      </w:r>
      <w:r w:rsidRPr="005C1E4B">
        <w:t>1</w:t>
      </w:r>
      <w:r w:rsidRPr="005C1E4B">
        <w:rPr>
          <w:rFonts w:hint="eastAsia"/>
        </w:rPr>
        <w:t>.5億餘元增至</w:t>
      </w:r>
      <w:r w:rsidRPr="005C1E4B">
        <w:t>101</w:t>
      </w:r>
      <w:r w:rsidRPr="005C1E4B">
        <w:rPr>
          <w:rFonts w:hint="eastAsia"/>
        </w:rPr>
        <w:t>年之</w:t>
      </w:r>
      <w:r w:rsidRPr="005C1E4B">
        <w:t>455</w:t>
      </w:r>
      <w:r w:rsidRPr="005C1E4B">
        <w:rPr>
          <w:rFonts w:hint="eastAsia"/>
        </w:rPr>
        <w:t>.6億餘元，累積至</w:t>
      </w:r>
      <w:r w:rsidRPr="005C1E4B">
        <w:t>102</w:t>
      </w:r>
      <w:r w:rsidRPr="005C1E4B">
        <w:rPr>
          <w:rFonts w:hint="eastAsia"/>
        </w:rPr>
        <w:t>年</w:t>
      </w:r>
      <w:r w:rsidRPr="005C1E4B">
        <w:t>9</w:t>
      </w:r>
      <w:r w:rsidRPr="005C1E4B">
        <w:rPr>
          <w:rFonts w:hint="eastAsia"/>
        </w:rPr>
        <w:t>月底止，總採購金額高達4,320.8億餘元，雖臺灣銀行之詢、查價未盡落實不可能自始即使共同供應契約價格高於市價二至三成，但仍有可能因未落實訪、查價，致浪費數百億之公帑。</w:t>
      </w:r>
      <w:r w:rsidRPr="005C1E4B">
        <w:rPr>
          <w:rFonts w:cs="標楷體" w:hint="eastAsia"/>
          <w:szCs w:val="32"/>
          <w:lang w:val="zh-TW"/>
        </w:rPr>
        <w:t>」法務部表示：「</w:t>
      </w:r>
      <w:r w:rsidRPr="005C1E4B">
        <w:rPr>
          <w:rFonts w:hint="eastAsia"/>
          <w:lang w:val="zh-TW"/>
        </w:rPr>
        <w:t>針對共同供應契約價格偏高及相關作業缺失，工程會已多次函文要求臺灣銀行採購部檢討改善，惟迄未妥善解決，肇致衍生後續弊端，甚至誘發公務員貪瀆犯罪，顯見單純循由行政體系之監督機制，已無法全盤解決此歷史沉痾積弊。邇來亦發現立約商以集團合作方式，共謀不為價格競爭以壟斷市場，此為司法機關較難於第一時間所得發掘。</w:t>
      </w:r>
      <w:r w:rsidRPr="005C1E4B">
        <w:rPr>
          <w:rFonts w:cs="標楷體" w:hint="eastAsia"/>
          <w:szCs w:val="32"/>
          <w:lang w:val="zh-TW"/>
        </w:rPr>
        <w:t>」</w:t>
      </w:r>
    </w:p>
    <w:p w:rsidR="00271BE3" w:rsidRPr="005C1E4B" w:rsidRDefault="00271BE3" w:rsidP="00271BE3">
      <w:pPr>
        <w:pStyle w:val="3"/>
        <w:kinsoku w:val="0"/>
      </w:pPr>
      <w:r w:rsidRPr="005C1E4B">
        <w:rPr>
          <w:rFonts w:cs="標楷體" w:hint="eastAsia"/>
          <w:szCs w:val="32"/>
          <w:lang w:val="zh-TW"/>
        </w:rPr>
        <w:t>又據審計部</w:t>
      </w:r>
      <w:r w:rsidRPr="005C1E4B">
        <w:rPr>
          <w:rFonts w:hint="eastAsia"/>
        </w:rPr>
        <w:t>抽核</w:t>
      </w:r>
      <w:r w:rsidRPr="005C1E4B">
        <w:rPr>
          <w:rFonts w:hint="eastAsia"/>
          <w:szCs w:val="32"/>
        </w:rPr>
        <w:t>臺灣銀行</w:t>
      </w:r>
      <w:r w:rsidRPr="005C1E4B">
        <w:rPr>
          <w:rFonts w:hint="eastAsia"/>
        </w:rPr>
        <w:t>採購部辦理「人、手孔蓋」等17件共同供應契約採購案之個案招決標作業時，所發現之通案缺失包括：「未於招標文件規定標價超過預算者為不合格標，適時排除廠商投遞不合理報價，衍生廠商報價異常偏高(如：攀爬體能器材案-慢步機品項，決標價為6萬3千元，某公司等投標報價竟高達1億元)，明顯未為價格競爭。另因事後跟進併列得標限制寬鬆</w:t>
      </w:r>
      <w:r w:rsidRPr="005C1E4B">
        <w:rPr>
          <w:rStyle w:val="af6"/>
        </w:rPr>
        <w:footnoteReference w:id="1"/>
      </w:r>
      <w:r w:rsidRPr="005C1E4B">
        <w:rPr>
          <w:rFonts w:hint="eastAsia"/>
        </w:rPr>
        <w:t>，衍生投標廠商到場比減價比率偏低(分別僅為</w:t>
      </w:r>
      <w:r w:rsidRPr="005C1E4B">
        <w:rPr>
          <w:rFonts w:hint="eastAsia"/>
        </w:rPr>
        <w:lastRenderedPageBreak/>
        <w:t>2％至21.4％)，且投標廠商得標率偏高(均為90％以上)；又底價參考來源不足或未經客觀分析，即草率訂定底價等。」又臺灣銀行100年至101年所辦250件共同供應契約，依分組分項決標，計有22,173個品項決標，其辦理之缺失情形摘要如下：</w:t>
      </w:r>
    </w:p>
    <w:p w:rsidR="00271BE3" w:rsidRPr="005C1E4B" w:rsidRDefault="00271BE3" w:rsidP="00271BE3">
      <w:pPr>
        <w:pStyle w:val="4"/>
        <w:ind w:left="1691"/>
      </w:pPr>
      <w:r w:rsidRPr="005C1E4B">
        <w:rPr>
          <w:rFonts w:hAnsi="標楷體" w:hint="eastAsia"/>
          <w:szCs w:val="32"/>
        </w:rPr>
        <w:t>迄審計部調查結束日102年5月2日止，其中208個契約查價次數在4次(含)以下，如依上述契約平均履約期間12.35個月計算，該採購部針對每個契約每季辦理查價次數尚不足1次，查價頻率明顯偏低，其中138個契約甚至從未查價</w:t>
      </w:r>
      <w:r w:rsidRPr="005C1E4B">
        <w:rPr>
          <w:rFonts w:hint="eastAsia"/>
        </w:rPr>
        <w:t>。又</w:t>
      </w:r>
      <w:r w:rsidRPr="005C1E4B">
        <w:rPr>
          <w:rFonts w:hAnsi="標楷體" w:hint="eastAsia"/>
          <w:szCs w:val="32"/>
        </w:rPr>
        <w:t>「LED交通號誌燈」等8個科技類品項契約，產品生命週期短，市場</w:t>
      </w:r>
      <w:r w:rsidRPr="005C1E4B">
        <w:rPr>
          <w:rFonts w:hAnsi="標楷體"/>
          <w:szCs w:val="32"/>
        </w:rPr>
        <w:t>價格波動</w:t>
      </w:r>
      <w:r w:rsidRPr="005C1E4B">
        <w:rPr>
          <w:rFonts w:hAnsi="標楷體" w:hint="eastAsia"/>
          <w:szCs w:val="32"/>
        </w:rPr>
        <w:t>大，除前述查價頻率偏低外，臺灣銀行針對該類契約之查價作業亦過度集中於特定期間，影響查價結果之客觀性</w:t>
      </w:r>
      <w:r w:rsidRPr="005C1E4B">
        <w:rPr>
          <w:rFonts w:hint="eastAsia"/>
        </w:rPr>
        <w:t>。</w:t>
      </w:r>
    </w:p>
    <w:p w:rsidR="00271BE3" w:rsidRPr="005C1E4B" w:rsidRDefault="00271BE3" w:rsidP="00271BE3">
      <w:pPr>
        <w:pStyle w:val="4"/>
        <w:ind w:left="1691"/>
      </w:pPr>
      <w:r w:rsidRPr="005C1E4B">
        <w:rPr>
          <w:rFonts w:hint="eastAsia"/>
        </w:rPr>
        <w:t>臺灣銀行</w:t>
      </w:r>
      <w:r w:rsidRPr="005C1E4B">
        <w:rPr>
          <w:rFonts w:hAnsi="標楷體" w:hint="eastAsia"/>
          <w:szCs w:val="32"/>
        </w:rPr>
        <w:t>辦理查價作業共填具1,102張查價單，查價管道包括：網路、賣場實地查訪、賣場DM、機關提供、其他(廠商申請函、廠商逕提供優惠予某特定者、傳真洽廠商說明)等。惟上述查價單僅以網路作為唯一查價來源者，即高達421張(占全部查價單38.2％)，顯見查價方式偏重網路查價，經分析以網路作為唯一查價來源，查價結果查無市價者共90張(占網路查價單21.4%)，比率亦相對偏高</w:t>
      </w:r>
      <w:r w:rsidRPr="005C1E4B">
        <w:rPr>
          <w:rFonts w:hint="eastAsia"/>
        </w:rPr>
        <w:t>。</w:t>
      </w:r>
    </w:p>
    <w:p w:rsidR="00271BE3" w:rsidRPr="005C1E4B" w:rsidRDefault="00271BE3" w:rsidP="00271BE3">
      <w:pPr>
        <w:pStyle w:val="4"/>
        <w:ind w:left="1691"/>
      </w:pPr>
      <w:r w:rsidRPr="005C1E4B">
        <w:rPr>
          <w:rFonts w:hint="eastAsia"/>
        </w:rPr>
        <w:t>其中決標比逾90％者，計有19,872個品項(占全部89.6％)，決標比逾95％者計有18,157個品項(占全部81.9％)，各品項之決標標比普</w:t>
      </w:r>
      <w:r w:rsidRPr="005C1E4B">
        <w:rPr>
          <w:rFonts w:hint="eastAsia"/>
        </w:rPr>
        <w:lastRenderedPageBreak/>
        <w:t>遍偏高；且合格廠商之得標率逾90％者計有194個(占全部77.6％，另有2件得標率為90％)，廠商得標率亦有偏高情形，顯示競價機制尚待檢討改善。</w:t>
      </w:r>
    </w:p>
    <w:p w:rsidR="00271BE3" w:rsidRPr="005C1E4B" w:rsidRDefault="00271BE3" w:rsidP="00271BE3">
      <w:pPr>
        <w:pStyle w:val="4"/>
        <w:ind w:left="1691"/>
      </w:pPr>
      <w:r w:rsidRPr="005C1E4B">
        <w:rPr>
          <w:rFonts w:hint="eastAsia"/>
          <w:szCs w:val="32"/>
        </w:rPr>
        <w:t>臺灣銀行</w:t>
      </w:r>
      <w:r w:rsidRPr="005C1E4B">
        <w:rPr>
          <w:rFonts w:hint="eastAsia"/>
        </w:rPr>
        <w:t>辦理之共同供應契約均訂有訂購門檻，單筆訂購金額或數量逾該門檻時，訂購機關應與立約商另行議定價格折扣或其他優惠條件；惟「最大訂購量」之訂定未考量各品項單價之實際差異情形，竟統一訂定為查核金額，對部分低單價品項明顯金額過鉅，另據稱「大量訂購門檻」係於廠商意見座談會討論後酌訂。經統計該250個共同供應契約之總訂購筆數計66.6萬餘筆，訂購金額697.2億餘元，其中逾大量訂購門檻者計6,036筆，僅占總訂購筆數1％，另訂購金額共165.8億餘元，亦僅占總訂購金額之23.8％。另本院詢據</w:t>
      </w:r>
      <w:r w:rsidRPr="005C1E4B">
        <w:rPr>
          <w:rFonts w:hint="eastAsia"/>
          <w:szCs w:val="32"/>
        </w:rPr>
        <w:t>臺灣銀行表示，</w:t>
      </w:r>
      <w:r w:rsidRPr="005C1E4B">
        <w:t>近5年「符合大量訂購之數量及所占訂單總數比例」</w:t>
      </w:r>
      <w:r w:rsidRPr="005C1E4B">
        <w:rPr>
          <w:rFonts w:hint="eastAsia"/>
        </w:rPr>
        <w:t>平</w:t>
      </w:r>
      <w:r w:rsidRPr="005C1E4B">
        <w:rPr>
          <w:rFonts w:hint="eastAsia"/>
          <w:bCs/>
        </w:rPr>
        <w:t>均僅</w:t>
      </w:r>
      <w:r w:rsidRPr="005C1E4B">
        <w:rPr>
          <w:rFonts w:hint="eastAsia"/>
        </w:rPr>
        <w:t>0.81％(總訂單筆數</w:t>
      </w:r>
      <w:r w:rsidRPr="005C1E4B">
        <w:t>1,</w:t>
      </w:r>
      <w:r w:rsidRPr="005C1E4B">
        <w:rPr>
          <w:rFonts w:hint="eastAsia"/>
        </w:rPr>
        <w:t>633,369筆，其中符合大量訂購之訂單筆數13,214筆)。</w:t>
      </w:r>
    </w:p>
    <w:p w:rsidR="00271BE3" w:rsidRPr="005C1E4B" w:rsidRDefault="00271BE3" w:rsidP="00271BE3">
      <w:pPr>
        <w:pStyle w:val="3"/>
        <w:kinsoku w:val="0"/>
      </w:pPr>
      <w:r w:rsidRPr="005C1E4B">
        <w:rPr>
          <w:rFonts w:hint="eastAsia"/>
        </w:rPr>
        <w:t>另據本院詢據工程會</w:t>
      </w:r>
      <w:r w:rsidRPr="005C1E4B">
        <w:rPr>
          <w:rFonts w:hAnsi="標楷體" w:hint="eastAsia"/>
          <w:kern w:val="2"/>
        </w:rPr>
        <w:t>表示，</w:t>
      </w:r>
      <w:r w:rsidRPr="005C1E4B">
        <w:rPr>
          <w:rFonts w:hint="eastAsia"/>
        </w:rPr>
        <w:t>共同供應契約執行迄今之主要問題如下：「1.部分契約價格存有高額利潤或高於市場行情，原因包括</w:t>
      </w:r>
      <w:r w:rsidRPr="005C1E4B">
        <w:rPr>
          <w:rFonts w:hAnsi="標楷體" w:hint="eastAsia"/>
        </w:rPr>
        <w:t>：</w:t>
      </w:r>
      <w:r w:rsidRPr="005C1E4B">
        <w:rPr>
          <w:rFonts w:hint="eastAsia"/>
        </w:rPr>
        <w:t>招標時之底價偏高、訂約後市場行情下跌、廠商哄抬價格、複數決標無限制跟進廠商家數、缺乏競爭</w:t>
      </w:r>
      <w:r w:rsidRPr="005C1E4B">
        <w:t>。</w:t>
      </w:r>
      <w:r w:rsidRPr="005C1E4B">
        <w:rPr>
          <w:rFonts w:hint="eastAsia"/>
        </w:rPr>
        <w:t>2.未適當區分書籍年份，造成滯銷書與出版年份較新之書籍，均通用相同之單價</w:t>
      </w:r>
      <w:r w:rsidRPr="005C1E4B">
        <w:t>。</w:t>
      </w:r>
      <w:r w:rsidRPr="005C1E4B">
        <w:rPr>
          <w:rFonts w:hint="eastAsia"/>
        </w:rPr>
        <w:t>3.未適當區分採購數量級距，造成單次訂購數量較低者與較高者，均適用相同之單價。4.訂約機關未落實履約期間查價機制，造成契約單價高於其他機關決標單價之</w:t>
      </w:r>
      <w:r w:rsidRPr="005C1E4B">
        <w:rPr>
          <w:rFonts w:hint="eastAsia"/>
        </w:rPr>
        <w:lastRenderedPageBreak/>
        <w:t>情形。5.契約單價高於集中採購決標予單一廠商之單價。」皆為</w:t>
      </w:r>
      <w:r w:rsidRPr="005C1E4B">
        <w:rPr>
          <w:rFonts w:hAnsi="標楷體" w:cs="HiddenHorzOCR" w:hint="eastAsia"/>
          <w:szCs w:val="32"/>
        </w:rPr>
        <w:t>臺灣銀行辦理</w:t>
      </w:r>
      <w:r w:rsidRPr="005C1E4B">
        <w:rPr>
          <w:rFonts w:hint="eastAsia"/>
        </w:rPr>
        <w:t>共同供應契約之主要缺失</w:t>
      </w:r>
      <w:r w:rsidRPr="005C1E4B">
        <w:rPr>
          <w:rFonts w:hAnsi="標楷體" w:cs="HiddenHorzOCR" w:hint="eastAsia"/>
          <w:szCs w:val="32"/>
        </w:rPr>
        <w:t>。</w:t>
      </w:r>
      <w:r w:rsidRPr="005C1E4B">
        <w:rPr>
          <w:rFonts w:hint="eastAsia"/>
        </w:rPr>
        <w:t>工程會建議之</w:t>
      </w:r>
      <w:r w:rsidRPr="005C1E4B">
        <w:rPr>
          <w:bCs w:val="0"/>
        </w:rPr>
        <w:t>改善措施</w:t>
      </w:r>
      <w:r w:rsidRPr="005C1E4B">
        <w:rPr>
          <w:rFonts w:hint="eastAsia"/>
          <w:bCs w:val="0"/>
        </w:rPr>
        <w:t>則有：</w:t>
      </w:r>
      <w:r w:rsidRPr="005C1E4B">
        <w:rPr>
          <w:rFonts w:hint="eastAsia"/>
        </w:rPr>
        <w:t>「1.擴大底價詢價來源及不超底價決標。2.</w:t>
      </w:r>
      <w:r w:rsidRPr="005C1E4B">
        <w:t>限制得標廠商家數</w:t>
      </w:r>
      <w:r w:rsidRPr="005C1E4B">
        <w:rPr>
          <w:rFonts w:hint="eastAsia"/>
        </w:rPr>
        <w:t>，</w:t>
      </w:r>
      <w:r w:rsidRPr="005C1E4B">
        <w:t>以促進</w:t>
      </w:r>
      <w:r w:rsidRPr="005C1E4B">
        <w:rPr>
          <w:rFonts w:hint="eastAsia"/>
        </w:rPr>
        <w:t>價格</w:t>
      </w:r>
      <w:r w:rsidRPr="005C1E4B">
        <w:t>競爭</w:t>
      </w:r>
      <w:r w:rsidRPr="005C1E4B">
        <w:rPr>
          <w:rFonts w:hint="eastAsia"/>
        </w:rPr>
        <w:t>。3.</w:t>
      </w:r>
      <w:r w:rsidRPr="005C1E4B">
        <w:t>招標文件載明單筆訂購金額或數量之合理上限，並得列出不同數量級距分項複數決標</w:t>
      </w:r>
      <w:r w:rsidRPr="005C1E4B">
        <w:rPr>
          <w:rFonts w:hint="eastAsia"/>
        </w:rPr>
        <w:t>。4.</w:t>
      </w:r>
      <w:r w:rsidRPr="005C1E4B">
        <w:t>訂約機關落實履約期間對廠商售價之查價機制，以利降價情形能即時普及於各機關</w:t>
      </w:r>
      <w:r w:rsidRPr="005C1E4B">
        <w:rPr>
          <w:rFonts w:hint="eastAsia"/>
        </w:rPr>
        <w:t>。5.對於大量訂購、特殊規格、非標準化商品或已知明確需求數量之採購，無需委託臺灣銀行簽訂共同供應契約。6.</w:t>
      </w:r>
      <w:r w:rsidRPr="005C1E4B">
        <w:t>生命週期較短或價格變動較大之採購品項，縮短契約有效期</w:t>
      </w:r>
      <w:r w:rsidRPr="005C1E4B">
        <w:rPr>
          <w:rFonts w:hint="eastAsia"/>
        </w:rPr>
        <w:t>。7.依不同年份出版之圖書，區分規格項次；逾一定年限以上出版之圖書則不納入共同供應契約，由機關自行辦理採購。」</w:t>
      </w:r>
      <w:r w:rsidRPr="005C1E4B">
        <w:rPr>
          <w:rFonts w:hint="eastAsia"/>
          <w:bCs w:val="0"/>
          <w:szCs w:val="52"/>
        </w:rPr>
        <w:t>法務部主管人員於本院約詢時陳稱：「</w:t>
      </w:r>
      <w:r w:rsidRPr="005C1E4B">
        <w:rPr>
          <w:rFonts w:hint="eastAsia"/>
        </w:rPr>
        <w:t>共同供應契約是系統性問題，年底時許多機關都透過共同供應契約採購，以消耗公帑，機關採購人員不知共同供應契約未必便宜，怠於訪查價，想便宜行事，失去其實施本意。至於有利可圖，則來自於決標單價高於市場行情，以致有超額利潤行賄；或決標單價雖係一般行情，卻以此一價格推銷滯銷低價產品。雖有形式上的公開招標程序，卻因跟價(進)制度的存在，致決標價格高於市價。</w:t>
      </w:r>
      <w:r w:rsidRPr="005C1E4B">
        <w:rPr>
          <w:rFonts w:hint="eastAsia"/>
          <w:bCs w:val="0"/>
          <w:szCs w:val="52"/>
        </w:rPr>
        <w:t>」工程會則稱：</w:t>
      </w:r>
      <w:r w:rsidRPr="005C1E4B">
        <w:rPr>
          <w:rFonts w:hint="eastAsia"/>
        </w:rPr>
        <w:t>「過去曾一再函請臺灣銀行檢討辦理共同供應契約失職人員責任，據悉該行迄未懲處相關失職人員。」</w:t>
      </w:r>
    </w:p>
    <w:p w:rsidR="00271BE3" w:rsidRPr="003377C9" w:rsidRDefault="00271BE3" w:rsidP="00271BE3">
      <w:pPr>
        <w:pStyle w:val="3"/>
        <w:kinsoku w:val="0"/>
      </w:pPr>
      <w:r w:rsidRPr="005C1E4B">
        <w:rPr>
          <w:rFonts w:hint="eastAsia"/>
        </w:rPr>
        <w:t>綜上，臺灣銀行</w:t>
      </w:r>
      <w:r w:rsidRPr="005C1E4B">
        <w:t>為代</w:t>
      </w:r>
      <w:r w:rsidRPr="005C1E4B">
        <w:rPr>
          <w:rFonts w:hint="eastAsia"/>
        </w:rPr>
        <w:t>理</w:t>
      </w:r>
      <w:r w:rsidRPr="005C1E4B">
        <w:t>各機關以共同供應契約辦理採購之</w:t>
      </w:r>
      <w:r w:rsidRPr="005C1E4B">
        <w:rPr>
          <w:rFonts w:hint="eastAsia"/>
        </w:rPr>
        <w:t>主要</w:t>
      </w:r>
      <w:r w:rsidRPr="005C1E4B">
        <w:t>訂約機關</w:t>
      </w:r>
      <w:r w:rsidRPr="005C1E4B">
        <w:rPr>
          <w:rFonts w:hint="eastAsia"/>
        </w:rPr>
        <w:t>，近年所辦理</w:t>
      </w:r>
      <w:r w:rsidRPr="005C1E4B">
        <w:t>共同供應契約</w:t>
      </w:r>
      <w:r w:rsidRPr="005C1E4B">
        <w:rPr>
          <w:rFonts w:hint="eastAsia"/>
        </w:rPr>
        <w:t>之每年訂購總金額可達400億元，</w:t>
      </w:r>
      <w:r w:rsidRPr="005C1E4B">
        <w:rPr>
          <w:rFonts w:hAnsi="標楷體" w:hint="eastAsia"/>
          <w:szCs w:val="32"/>
        </w:rPr>
        <w:t>訂購筆數可達60萬筆以上</w:t>
      </w:r>
      <w:r w:rsidRPr="005C1E4B">
        <w:rPr>
          <w:rFonts w:hint="eastAsia"/>
        </w:rPr>
        <w:t>。</w:t>
      </w:r>
      <w:r>
        <w:rPr>
          <w:rFonts w:hint="eastAsia"/>
        </w:rPr>
        <w:t>既</w:t>
      </w:r>
      <w:r w:rsidRPr="005C1E4B">
        <w:rPr>
          <w:rFonts w:hint="eastAsia"/>
        </w:rPr>
        <w:t>經審計部</w:t>
      </w:r>
      <w:r w:rsidRPr="005C1E4B">
        <w:rPr>
          <w:rFonts w:hint="eastAsia"/>
          <w:lang w:val="zh-TW"/>
        </w:rPr>
        <w:t>查核部分</w:t>
      </w:r>
      <w:r w:rsidRPr="005C1E4B">
        <w:rPr>
          <w:rFonts w:hint="eastAsia"/>
        </w:rPr>
        <w:t>共同供應</w:t>
      </w:r>
      <w:r w:rsidRPr="005C1E4B">
        <w:rPr>
          <w:rFonts w:hint="eastAsia"/>
        </w:rPr>
        <w:lastRenderedPageBreak/>
        <w:t>契約採購案之招決標作業存有</w:t>
      </w:r>
      <w:r w:rsidRPr="005C1E4B">
        <w:rPr>
          <w:rFonts w:hint="eastAsia"/>
          <w:lang w:val="zh-TW"/>
        </w:rPr>
        <w:t>：</w:t>
      </w:r>
      <w:r w:rsidRPr="005C1E4B">
        <w:rPr>
          <w:rFonts w:hint="eastAsia"/>
        </w:rPr>
        <w:t>廠商報價異常偏高</w:t>
      </w:r>
      <w:r w:rsidRPr="005C1E4B">
        <w:rPr>
          <w:rFonts w:hint="eastAsia"/>
          <w:lang w:val="zh-TW"/>
        </w:rPr>
        <w:t>、</w:t>
      </w:r>
      <w:r w:rsidRPr="005C1E4B">
        <w:rPr>
          <w:rFonts w:hint="eastAsia"/>
        </w:rPr>
        <w:t>投標廠商到場比減價比率偏低及得標率偏高</w:t>
      </w:r>
      <w:r w:rsidRPr="005C1E4B">
        <w:rPr>
          <w:rFonts w:hint="eastAsia"/>
          <w:lang w:val="zh-TW"/>
        </w:rPr>
        <w:t>、</w:t>
      </w:r>
      <w:r w:rsidRPr="005C1E4B">
        <w:rPr>
          <w:rFonts w:hint="eastAsia"/>
        </w:rPr>
        <w:t>底價參考來源及</w:t>
      </w:r>
      <w:r w:rsidRPr="005C1E4B">
        <w:rPr>
          <w:rFonts w:hAnsi="標楷體" w:hint="eastAsia"/>
          <w:szCs w:val="32"/>
        </w:rPr>
        <w:t>查價次數</w:t>
      </w:r>
      <w:r w:rsidRPr="005C1E4B">
        <w:rPr>
          <w:rFonts w:hint="eastAsia"/>
        </w:rPr>
        <w:t>不足或未經客觀分析與</w:t>
      </w:r>
      <w:r w:rsidRPr="005C1E4B">
        <w:rPr>
          <w:rFonts w:hAnsi="標楷體" w:hint="eastAsia"/>
          <w:szCs w:val="32"/>
        </w:rPr>
        <w:t>集中於特定期間</w:t>
      </w:r>
      <w:r w:rsidRPr="005C1E4B">
        <w:rPr>
          <w:rFonts w:hint="eastAsia"/>
          <w:lang w:val="zh-TW"/>
        </w:rPr>
        <w:t>、最大</w:t>
      </w:r>
      <w:r w:rsidRPr="005C1E4B">
        <w:rPr>
          <w:rFonts w:hint="eastAsia"/>
        </w:rPr>
        <w:t>訂購門檻未考量各品項單價之差異</w:t>
      </w:r>
      <w:r w:rsidRPr="005C1E4B">
        <w:rPr>
          <w:rFonts w:hint="eastAsia"/>
          <w:lang w:val="zh-TW"/>
        </w:rPr>
        <w:t>等情，</w:t>
      </w:r>
      <w:r w:rsidRPr="005C1E4B">
        <w:rPr>
          <w:szCs w:val="32"/>
        </w:rPr>
        <w:t>臺灣銀行為促成廠商併列得標，招決標作業多流於形式，明顯有不為價格競爭情事，致衍生立約商超額利潤，甚至誘發採購弊端</w:t>
      </w:r>
      <w:r w:rsidRPr="005C1E4B">
        <w:rPr>
          <w:rFonts w:hint="eastAsia"/>
          <w:lang w:val="zh-TW"/>
        </w:rPr>
        <w:t>。</w:t>
      </w:r>
      <w:r>
        <w:rPr>
          <w:rFonts w:hint="eastAsia"/>
          <w:lang w:val="zh-TW"/>
        </w:rPr>
        <w:t>且</w:t>
      </w:r>
      <w:r w:rsidRPr="005C1E4B">
        <w:rPr>
          <w:rFonts w:cs="標楷體" w:hint="eastAsia"/>
          <w:szCs w:val="32"/>
          <w:lang w:val="zh-TW"/>
        </w:rPr>
        <w:t>司法機關偵辦</w:t>
      </w:r>
      <w:r w:rsidRPr="005C1E4B">
        <w:rPr>
          <w:rFonts w:hint="eastAsia"/>
          <w:lang w:val="zh-TW"/>
        </w:rPr>
        <w:t>發現：部分標案之</w:t>
      </w:r>
      <w:r w:rsidRPr="005C1E4B">
        <w:rPr>
          <w:rFonts w:cs="標楷體" w:hint="eastAsia"/>
          <w:szCs w:val="32"/>
          <w:lang w:val="zh-TW"/>
        </w:rPr>
        <w:t>決標單價高於市場行情及推銷滯銷低價產品，或</w:t>
      </w:r>
      <w:r w:rsidRPr="005C1E4B">
        <w:rPr>
          <w:rFonts w:hint="eastAsia"/>
          <w:lang w:val="zh-TW"/>
        </w:rPr>
        <w:t>立約商共謀壟斷市場</w:t>
      </w:r>
      <w:r w:rsidRPr="005C1E4B">
        <w:rPr>
          <w:rFonts w:cs="標楷體" w:hint="eastAsia"/>
          <w:szCs w:val="32"/>
          <w:lang w:val="zh-TW"/>
        </w:rPr>
        <w:t>，致有超額利潤行賄，</w:t>
      </w:r>
      <w:r w:rsidR="004F6E49">
        <w:rPr>
          <w:rFonts w:hint="eastAsia"/>
          <w:lang w:val="zh-TW"/>
        </w:rPr>
        <w:t>又</w:t>
      </w:r>
      <w:r w:rsidRPr="005C1E4B">
        <w:rPr>
          <w:rFonts w:hAnsi="標楷體" w:hint="eastAsia"/>
          <w:color w:val="000000"/>
          <w:szCs w:val="32"/>
        </w:rPr>
        <w:t>採購單位並未就採購品項落實訪、詢價</w:t>
      </w:r>
      <w:r w:rsidRPr="005C1E4B">
        <w:rPr>
          <w:rFonts w:hint="eastAsia"/>
          <w:lang w:val="zh-TW"/>
        </w:rPr>
        <w:t>，以及商品市價通報機制形同虛設；</w:t>
      </w:r>
      <w:r w:rsidRPr="005C1E4B">
        <w:rPr>
          <w:rFonts w:cs="標楷體" w:hint="eastAsia"/>
          <w:szCs w:val="32"/>
          <w:lang w:val="zh-TW"/>
        </w:rPr>
        <w:t>另</w:t>
      </w:r>
      <w:r w:rsidRPr="005C1E4B">
        <w:rPr>
          <w:rFonts w:hAnsi="標楷體" w:hint="eastAsia"/>
          <w:color w:val="000000"/>
          <w:szCs w:val="32"/>
        </w:rPr>
        <w:t>有28個主管機關提出</w:t>
      </w:r>
      <w:r w:rsidRPr="005C1E4B">
        <w:rPr>
          <w:rFonts w:hint="eastAsia"/>
          <w:lang w:val="zh-TW"/>
        </w:rPr>
        <w:t>：代辦機關可縮短契約期限</w:t>
      </w:r>
      <w:r w:rsidRPr="005C1E4B">
        <w:rPr>
          <w:rFonts w:hAnsi="標楷體" w:hint="eastAsia"/>
          <w:color w:val="000000"/>
          <w:szCs w:val="32"/>
        </w:rPr>
        <w:t>及</w:t>
      </w:r>
      <w:r w:rsidRPr="005C1E4B">
        <w:rPr>
          <w:rFonts w:hint="eastAsia"/>
          <w:lang w:val="zh-TW"/>
        </w:rPr>
        <w:t>加強市場行情查價</w:t>
      </w:r>
      <w:r w:rsidRPr="005C1E4B">
        <w:rPr>
          <w:rFonts w:hAnsi="標楷體" w:hint="eastAsia"/>
          <w:color w:val="000000"/>
          <w:szCs w:val="32"/>
        </w:rPr>
        <w:t>、</w:t>
      </w:r>
      <w:r w:rsidRPr="005C1E4B">
        <w:rPr>
          <w:rFonts w:hint="eastAsia"/>
          <w:lang w:val="zh-TW"/>
        </w:rPr>
        <w:t>提供市價查詢平臺機制</w:t>
      </w:r>
      <w:r w:rsidRPr="005C1E4B">
        <w:rPr>
          <w:rFonts w:hAnsi="標楷體" w:hint="eastAsia"/>
          <w:color w:val="000000"/>
          <w:szCs w:val="32"/>
        </w:rPr>
        <w:t>、</w:t>
      </w:r>
      <w:r w:rsidRPr="005C1E4B">
        <w:rPr>
          <w:rFonts w:hint="eastAsia"/>
          <w:lang w:val="zh-TW"/>
        </w:rPr>
        <w:t>與各承商訂定產品浮動計價方式</w:t>
      </w:r>
      <w:r w:rsidRPr="005C1E4B">
        <w:rPr>
          <w:rFonts w:hAnsi="標楷體" w:hint="eastAsia"/>
          <w:color w:val="000000"/>
          <w:szCs w:val="32"/>
        </w:rPr>
        <w:t>等113項意見</w:t>
      </w:r>
      <w:r w:rsidRPr="005C1E4B">
        <w:rPr>
          <w:rFonts w:hint="eastAsia"/>
          <w:lang w:val="zh-TW"/>
        </w:rPr>
        <w:t>。</w:t>
      </w:r>
      <w:r>
        <w:rPr>
          <w:rFonts w:hint="eastAsia"/>
          <w:lang w:val="zh-TW"/>
        </w:rPr>
        <w:t>並據</w:t>
      </w:r>
      <w:r w:rsidRPr="005C1E4B">
        <w:rPr>
          <w:rFonts w:hint="eastAsia"/>
          <w:lang w:val="zh-TW"/>
        </w:rPr>
        <w:t>工程會</w:t>
      </w:r>
      <w:r>
        <w:rPr>
          <w:rFonts w:hint="eastAsia"/>
          <w:lang w:val="zh-TW"/>
        </w:rPr>
        <w:t>核</w:t>
      </w:r>
      <w:r w:rsidRPr="005C1E4B">
        <w:rPr>
          <w:rFonts w:hint="eastAsia"/>
          <w:lang w:val="zh-TW"/>
        </w:rPr>
        <w:t>認</w:t>
      </w:r>
      <w:r w:rsidRPr="005C1E4B">
        <w:rPr>
          <w:rFonts w:hAnsi="標楷體" w:cs="HiddenHorzOCR" w:hint="eastAsia"/>
          <w:szCs w:val="32"/>
        </w:rPr>
        <w:t>臺灣銀行辦理</w:t>
      </w:r>
      <w:r w:rsidRPr="005C1E4B">
        <w:rPr>
          <w:rFonts w:hint="eastAsia"/>
        </w:rPr>
        <w:t>共同供應契約迄今主要有：未落實履約期間查價機制、部分契約價格存有高額利潤或高於市場行情、未適當區分書籍年份及採購數量級距等缺失</w:t>
      </w:r>
      <w:r w:rsidRPr="005C1E4B">
        <w:rPr>
          <w:rFonts w:hint="eastAsia"/>
          <w:lang w:val="zh-TW"/>
        </w:rPr>
        <w:t>，並已多次函文要求臺灣銀行採購部檢討改善，惟迄未妥善解決，致衍生後續弊端。據上，</w:t>
      </w:r>
      <w:r w:rsidRPr="005C1E4B">
        <w:rPr>
          <w:rFonts w:hAnsi="標楷體" w:hint="eastAsia"/>
          <w:szCs w:val="32"/>
        </w:rPr>
        <w:t>臺灣銀行採購部辦理共同供應契約核有諸多缺失</w:t>
      </w:r>
      <w:r w:rsidRPr="005C1E4B">
        <w:rPr>
          <w:rFonts w:hint="eastAsia"/>
          <w:lang w:val="zh-TW"/>
        </w:rPr>
        <w:t>，其</w:t>
      </w:r>
      <w:r w:rsidRPr="005C1E4B">
        <w:rPr>
          <w:rFonts w:hAnsi="標楷體" w:hint="eastAsia"/>
          <w:szCs w:val="32"/>
        </w:rPr>
        <w:t>招決標作業流於形式</w:t>
      </w:r>
      <w:r w:rsidRPr="005C1E4B">
        <w:rPr>
          <w:rFonts w:hint="eastAsia"/>
          <w:lang w:val="zh-TW"/>
        </w:rPr>
        <w:t>，致使</w:t>
      </w:r>
      <w:r w:rsidRPr="005C1E4B">
        <w:t>契約價格</w:t>
      </w:r>
      <w:r w:rsidRPr="005C1E4B">
        <w:rPr>
          <w:rFonts w:hint="eastAsia"/>
        </w:rPr>
        <w:t>偏離市場行情</w:t>
      </w:r>
      <w:r w:rsidRPr="005C1E4B">
        <w:rPr>
          <w:rFonts w:hint="eastAsia"/>
          <w:lang w:val="zh-TW"/>
        </w:rPr>
        <w:t>，造成</w:t>
      </w:r>
      <w:r w:rsidRPr="005C1E4B">
        <w:rPr>
          <w:rFonts w:hint="eastAsia"/>
        </w:rPr>
        <w:t>適用之訂購機關徒增採購金額</w:t>
      </w:r>
      <w:r w:rsidRPr="005C1E4B">
        <w:rPr>
          <w:rFonts w:hint="eastAsia"/>
          <w:lang w:val="zh-TW"/>
        </w:rPr>
        <w:t>，</w:t>
      </w:r>
      <w:r>
        <w:rPr>
          <w:rFonts w:hint="eastAsia"/>
          <w:lang w:val="zh-TW"/>
        </w:rPr>
        <w:t>確</w:t>
      </w:r>
      <w:r w:rsidRPr="005C1E4B">
        <w:rPr>
          <w:rFonts w:hint="eastAsia"/>
          <w:lang w:val="zh-TW"/>
        </w:rPr>
        <w:t>有違失。</w:t>
      </w:r>
    </w:p>
    <w:p w:rsidR="00271BE3" w:rsidRPr="004E2D26" w:rsidRDefault="00271BE3" w:rsidP="00063118">
      <w:pPr>
        <w:pStyle w:val="2"/>
        <w:kinsoku w:val="0"/>
        <w:spacing w:beforeLines="20"/>
        <w:ind w:left="1020" w:hanging="680"/>
        <w:rPr>
          <w:b/>
        </w:rPr>
      </w:pPr>
      <w:bookmarkStart w:id="48" w:name="_Toc383415226"/>
      <w:r w:rsidRPr="004E2D26">
        <w:rPr>
          <w:rFonts w:hint="eastAsia"/>
          <w:b/>
        </w:rPr>
        <w:t>臺灣銀行違反政府採購法及招標文件之規定，竟於</w:t>
      </w:r>
      <w:r w:rsidRPr="004E2D26">
        <w:rPr>
          <w:b/>
          <w:szCs w:val="32"/>
        </w:rPr>
        <w:t>「中文圖書」</w:t>
      </w:r>
      <w:r w:rsidRPr="004E2D26">
        <w:rPr>
          <w:rFonts w:hint="eastAsia"/>
          <w:b/>
          <w:szCs w:val="32"/>
        </w:rPr>
        <w:t>之</w:t>
      </w:r>
      <w:r w:rsidRPr="004E2D26">
        <w:rPr>
          <w:b/>
        </w:rPr>
        <w:t>共同供應契約</w:t>
      </w:r>
      <w:r w:rsidRPr="004E2D26">
        <w:rPr>
          <w:b/>
          <w:szCs w:val="32"/>
        </w:rPr>
        <w:t>採購</w:t>
      </w:r>
      <w:r w:rsidRPr="004E2D26">
        <w:rPr>
          <w:b/>
        </w:rPr>
        <w:t>案</w:t>
      </w:r>
      <w:r w:rsidRPr="004E2D26">
        <w:rPr>
          <w:rFonts w:hint="eastAsia"/>
          <w:b/>
        </w:rPr>
        <w:t>開標且價格封開啟後，同意廠商撤回報價，致</w:t>
      </w:r>
      <w:r w:rsidRPr="004E2D26">
        <w:rPr>
          <w:b/>
        </w:rPr>
        <w:t>訂購機關</w:t>
      </w:r>
      <w:r w:rsidRPr="004E2D26">
        <w:rPr>
          <w:rFonts w:hint="eastAsia"/>
          <w:b/>
        </w:rPr>
        <w:t>徒增</w:t>
      </w:r>
      <w:r w:rsidRPr="004E2D26">
        <w:rPr>
          <w:b/>
        </w:rPr>
        <w:t>採購支出</w:t>
      </w:r>
      <w:r w:rsidRPr="004E2D26">
        <w:rPr>
          <w:rFonts w:hint="eastAsia"/>
          <w:b/>
        </w:rPr>
        <w:t>3千7百餘萬元，且拒對工程會及審計部指正意見坦承疏失責任，確有違失。</w:t>
      </w:r>
      <w:bookmarkEnd w:id="48"/>
    </w:p>
    <w:p w:rsidR="00271BE3" w:rsidRPr="005C1E4B" w:rsidRDefault="00271BE3" w:rsidP="00271BE3">
      <w:pPr>
        <w:pStyle w:val="3"/>
        <w:kinsoku w:val="0"/>
      </w:pPr>
      <w:r w:rsidRPr="005C1E4B">
        <w:rPr>
          <w:rFonts w:hint="eastAsia"/>
        </w:rPr>
        <w:t>按</w:t>
      </w:r>
      <w:r w:rsidRPr="005C1E4B">
        <w:rPr>
          <w:rFonts w:hAnsi="標楷體" w:hint="eastAsia"/>
          <w:szCs w:val="32"/>
        </w:rPr>
        <w:t>政府採購法</w:t>
      </w:r>
      <w:r w:rsidRPr="005C1E4B">
        <w:rPr>
          <w:rFonts w:hAnsi="標楷體"/>
          <w:szCs w:val="32"/>
        </w:rPr>
        <w:t>第58條</w:t>
      </w:r>
      <w:r w:rsidRPr="005C1E4B">
        <w:rPr>
          <w:rFonts w:hAnsi="標楷體" w:hint="eastAsia"/>
          <w:szCs w:val="32"/>
        </w:rPr>
        <w:t>及同</w:t>
      </w:r>
      <w:r w:rsidRPr="005C1E4B">
        <w:rPr>
          <w:rFonts w:hAnsi="標楷體"/>
          <w:szCs w:val="32"/>
        </w:rPr>
        <w:t>法</w:t>
      </w:r>
      <w:r w:rsidRPr="005C1E4B">
        <w:rPr>
          <w:rFonts w:hAnsi="標楷體" w:hint="eastAsia"/>
          <w:szCs w:val="32"/>
        </w:rPr>
        <w:t>施行細則</w:t>
      </w:r>
      <w:r w:rsidRPr="005C1E4B">
        <w:rPr>
          <w:rFonts w:hAnsi="標楷體"/>
          <w:szCs w:val="32"/>
        </w:rPr>
        <w:t>第</w:t>
      </w:r>
      <w:r w:rsidRPr="005C1E4B">
        <w:rPr>
          <w:rFonts w:hAnsi="標楷體" w:hint="eastAsia"/>
          <w:szCs w:val="32"/>
        </w:rPr>
        <w:t>79</w:t>
      </w:r>
      <w:r w:rsidRPr="005C1E4B">
        <w:rPr>
          <w:rFonts w:hAnsi="標楷體"/>
          <w:szCs w:val="32"/>
        </w:rPr>
        <w:t>條</w:t>
      </w:r>
      <w:r w:rsidRPr="005C1E4B">
        <w:rPr>
          <w:rFonts w:hAnsi="標楷體" w:hint="eastAsia"/>
          <w:szCs w:val="32"/>
        </w:rPr>
        <w:t>與</w:t>
      </w:r>
      <w:r w:rsidRPr="005C1E4B">
        <w:rPr>
          <w:rFonts w:hAnsi="標楷體" w:hint="eastAsia"/>
          <w:szCs w:val="32"/>
        </w:rPr>
        <w:lastRenderedPageBreak/>
        <w:t>工程會</w:t>
      </w:r>
      <w:r w:rsidRPr="005C1E4B">
        <w:rPr>
          <w:rFonts w:hAnsi="標楷體"/>
          <w:szCs w:val="32"/>
        </w:rPr>
        <w:t>100</w:t>
      </w:r>
      <w:r w:rsidRPr="005C1E4B">
        <w:rPr>
          <w:rFonts w:hAnsi="標楷體" w:hint="eastAsia"/>
          <w:szCs w:val="32"/>
        </w:rPr>
        <w:t>年</w:t>
      </w:r>
      <w:r w:rsidRPr="005C1E4B">
        <w:rPr>
          <w:rFonts w:hAnsi="標楷體"/>
          <w:szCs w:val="32"/>
        </w:rPr>
        <w:t>8</w:t>
      </w:r>
      <w:r w:rsidRPr="005C1E4B">
        <w:rPr>
          <w:rFonts w:hAnsi="標楷體" w:hint="eastAsia"/>
          <w:szCs w:val="32"/>
        </w:rPr>
        <w:t>月</w:t>
      </w:r>
      <w:r w:rsidRPr="005C1E4B">
        <w:rPr>
          <w:rFonts w:hAnsi="標楷體"/>
          <w:szCs w:val="32"/>
        </w:rPr>
        <w:t>22</w:t>
      </w:r>
      <w:r w:rsidRPr="005C1E4B">
        <w:rPr>
          <w:rFonts w:hAnsi="標楷體" w:hint="eastAsia"/>
          <w:szCs w:val="32"/>
        </w:rPr>
        <w:t>日工程企字第</w:t>
      </w:r>
      <w:r w:rsidRPr="005C1E4B">
        <w:rPr>
          <w:rFonts w:hAnsi="標楷體"/>
          <w:szCs w:val="32"/>
        </w:rPr>
        <w:t>10000261091</w:t>
      </w:r>
      <w:r w:rsidRPr="005C1E4B">
        <w:rPr>
          <w:rFonts w:hAnsi="標楷體" w:hint="eastAsia"/>
          <w:szCs w:val="32"/>
        </w:rPr>
        <w:t>號令</w:t>
      </w:r>
      <w:r w:rsidRPr="005C1E4B">
        <w:rPr>
          <w:rFonts w:hint="eastAsia"/>
        </w:rPr>
        <w:t>修正「依政府採購法第58條處理總標價低於底價百分之八十案件之執行程序」項次一</w:t>
      </w:r>
      <w:r w:rsidRPr="005C1E4B">
        <w:rPr>
          <w:szCs w:val="32"/>
        </w:rPr>
        <w:t>略以：</w:t>
      </w:r>
      <w:r w:rsidRPr="005C1E4B">
        <w:rPr>
          <w:rFonts w:hAnsi="標楷體"/>
          <w:szCs w:val="32"/>
        </w:rPr>
        <w:t>「</w:t>
      </w:r>
      <w:r w:rsidRPr="005C1E4B">
        <w:rPr>
          <w:szCs w:val="32"/>
        </w:rPr>
        <w:t>合於招標文件規定之最低標廠商，其總標價在底價以下，但未低於底價之百分之八十，該最低標廠商主動表示標價錯誤，要求不決標予該廠商或不接受決標、拒不簽約時，機關</w:t>
      </w:r>
      <w:r w:rsidRPr="005C1E4B">
        <w:rPr>
          <w:rFonts w:hAnsi="標楷體" w:hint="eastAsia"/>
        </w:rPr>
        <w:t>應</w:t>
      </w:r>
      <w:r w:rsidRPr="005C1E4B">
        <w:rPr>
          <w:szCs w:val="32"/>
        </w:rPr>
        <w:t>不接受該最低標廠商要求，照價決標。如最低標廠商不接受決標或拒不簽約，依</w:t>
      </w:r>
      <w:r w:rsidRPr="005C1E4B">
        <w:t>政府採購法第101</w:t>
      </w:r>
      <w:r w:rsidRPr="005C1E4B">
        <w:rPr>
          <w:szCs w:val="32"/>
        </w:rPr>
        <w:t>條（應通知廠商並刊登公報之廠商違法情形）、第102條（廠商得對機關認為違法之情事提出異議及申訴）</w:t>
      </w:r>
      <w:r w:rsidRPr="005C1E4B">
        <w:rPr>
          <w:szCs w:val="32"/>
        </w:rPr>
        <w:t>…</w:t>
      </w:r>
      <w:r w:rsidRPr="005C1E4B">
        <w:t>。</w:t>
      </w:r>
      <w:r w:rsidRPr="005C1E4B">
        <w:rPr>
          <w:rFonts w:hAnsi="標楷體"/>
          <w:szCs w:val="27"/>
        </w:rPr>
        <w:t>如有押標金，依招標文件之規定不予發還</w:t>
      </w:r>
      <w:r w:rsidRPr="005C1E4B">
        <w:rPr>
          <w:szCs w:val="32"/>
        </w:rPr>
        <w:t>。」</w:t>
      </w:r>
      <w:r w:rsidRPr="005C1E4B">
        <w:rPr>
          <w:rFonts w:hint="eastAsia"/>
          <w:szCs w:val="32"/>
        </w:rPr>
        <w:t>又同法施行細則第80條規定：「本法第58條所稱部分標價偏低，指下列情形之一：一、該部分標價有對應之底價項目可供比較，該部分標價低於相同部分項目底價之百分之七十者…。」另工</w:t>
      </w:r>
      <w:r w:rsidRPr="005C1E4B">
        <w:rPr>
          <w:rFonts w:hAnsi="標楷體" w:hint="eastAsia"/>
          <w:szCs w:val="48"/>
        </w:rPr>
        <w:t>程會89年5月25日(89)工程企字第89013455號函</w:t>
      </w:r>
      <w:r w:rsidRPr="005C1E4B">
        <w:rPr>
          <w:rFonts w:hAnsi="標楷體" w:hint="eastAsia"/>
        </w:rPr>
        <w:t>釋</w:t>
      </w:r>
      <w:r w:rsidRPr="005C1E4B">
        <w:rPr>
          <w:rFonts w:hAnsi="標楷體" w:hint="eastAsia"/>
          <w:szCs w:val="48"/>
        </w:rPr>
        <w:t>示略以：「參照本法第31條第2項第4款（廠商在報價有效期間內撤回其報價，其所繳納之押標金，不予發還</w:t>
      </w:r>
      <w:r w:rsidRPr="005C1E4B">
        <w:rPr>
          <w:rFonts w:hAnsi="標楷體"/>
          <w:szCs w:val="48"/>
        </w:rPr>
        <w:t>…</w:t>
      </w:r>
      <w:r w:rsidRPr="005C1E4B">
        <w:rPr>
          <w:rFonts w:hAnsi="標楷體" w:hint="eastAsia"/>
          <w:szCs w:val="48"/>
        </w:rPr>
        <w:t>）之規定，已投遞或親自送達之投標文件，不應於開標前同意廠商領回。」</w:t>
      </w:r>
    </w:p>
    <w:p w:rsidR="00271BE3" w:rsidRPr="005C1E4B" w:rsidRDefault="00271BE3" w:rsidP="00271BE3">
      <w:pPr>
        <w:pStyle w:val="3"/>
        <w:kinsoku w:val="0"/>
        <w:rPr>
          <w:szCs w:val="32"/>
        </w:rPr>
      </w:pPr>
      <w:r w:rsidRPr="005C1E4B">
        <w:rPr>
          <w:rFonts w:hint="eastAsia"/>
        </w:rPr>
        <w:t>查臺灣銀行</w:t>
      </w:r>
      <w:r w:rsidRPr="005C1E4B">
        <w:t>採購部</w:t>
      </w:r>
      <w:r w:rsidRPr="005C1E4B">
        <w:rPr>
          <w:rFonts w:hint="eastAsia"/>
        </w:rPr>
        <w:t>辦理101年度</w:t>
      </w:r>
      <w:r w:rsidRPr="005C1E4B">
        <w:rPr>
          <w:szCs w:val="32"/>
        </w:rPr>
        <w:t>「中文圖</w:t>
      </w:r>
      <w:r w:rsidRPr="005C1E4B">
        <w:t>書（</w:t>
      </w:r>
      <w:r w:rsidRPr="005C1E4B">
        <w:rPr>
          <w:rFonts w:hint="eastAsia"/>
        </w:rPr>
        <w:t>招標</w:t>
      </w:r>
      <w:r w:rsidRPr="005C1E4B">
        <w:t>案號</w:t>
      </w:r>
      <w:r w:rsidRPr="005C1E4B">
        <w:rPr>
          <w:rFonts w:hint="eastAsia"/>
        </w:rPr>
        <w:t>：</w:t>
      </w:r>
      <w:r w:rsidRPr="005C1E4B">
        <w:t>LP5-100037）」共同供應契約採購案</w:t>
      </w:r>
      <w:r w:rsidRPr="005C1E4B">
        <w:rPr>
          <w:rFonts w:hint="eastAsia"/>
        </w:rPr>
        <w:t>之</w:t>
      </w:r>
      <w:r w:rsidRPr="005C1E4B">
        <w:t>投標須知第十一、(二)條規定</w:t>
      </w:r>
      <w:r w:rsidRPr="005C1E4B">
        <w:rPr>
          <w:rFonts w:hint="eastAsia"/>
        </w:rPr>
        <w:t>略以</w:t>
      </w:r>
      <w:r w:rsidRPr="005C1E4B">
        <w:t>：「</w:t>
      </w:r>
      <w:r w:rsidRPr="005C1E4B">
        <w:t>…</w:t>
      </w:r>
      <w:r w:rsidRPr="005C1E4B">
        <w:t>投標廠商之投標文件/報價自該投標文件送達臺灣銀行採購部指定之場所即生效，不得撤回。」</w:t>
      </w:r>
      <w:r w:rsidRPr="005C1E4B">
        <w:rPr>
          <w:rFonts w:hint="eastAsia"/>
        </w:rPr>
        <w:t>該</w:t>
      </w:r>
      <w:r w:rsidRPr="005C1E4B">
        <w:t>採</w:t>
      </w:r>
      <w:r w:rsidRPr="005C1E4B">
        <w:rPr>
          <w:szCs w:val="32"/>
        </w:rPr>
        <w:t>購案係</w:t>
      </w:r>
      <w:proofErr w:type="gramStart"/>
      <w:r w:rsidRPr="005C1E4B">
        <w:rPr>
          <w:szCs w:val="32"/>
        </w:rPr>
        <w:t>採</w:t>
      </w:r>
      <w:proofErr w:type="gramEnd"/>
      <w:r w:rsidRPr="005C1E4B">
        <w:rPr>
          <w:szCs w:val="32"/>
        </w:rPr>
        <w:t>公開招標最低標、分組分項複數決標（共分4組每組7項），各項得標廠商不以1家為限，全案共222家廠商投標，惟其</w:t>
      </w:r>
      <w:r w:rsidRPr="00D63F51">
        <w:rPr>
          <w:szCs w:val="32"/>
        </w:rPr>
        <w:t>中</w:t>
      </w:r>
      <w:r w:rsidR="00BE7FC8" w:rsidRPr="00D63F51">
        <w:rPr>
          <w:rFonts w:hint="eastAsia"/>
          <w:b/>
          <w:szCs w:val="32"/>
        </w:rPr>
        <w:t>○○</w:t>
      </w:r>
      <w:r w:rsidRPr="00D63F51">
        <w:rPr>
          <w:szCs w:val="32"/>
        </w:rPr>
        <w:t>影音圖書</w:t>
      </w:r>
      <w:r w:rsidRPr="00D63F51">
        <w:rPr>
          <w:szCs w:val="32"/>
        </w:rPr>
        <w:lastRenderedPageBreak/>
        <w:t>出版社、</w:t>
      </w:r>
      <w:r w:rsidR="00BE7FC8" w:rsidRPr="00D63F51">
        <w:rPr>
          <w:rFonts w:hint="eastAsia"/>
          <w:b/>
          <w:szCs w:val="32"/>
        </w:rPr>
        <w:t>○○○</w:t>
      </w:r>
      <w:r w:rsidRPr="00D63F51">
        <w:rPr>
          <w:szCs w:val="32"/>
        </w:rPr>
        <w:t>科學教育有限公司及</w:t>
      </w:r>
      <w:r w:rsidR="00BE7FC8" w:rsidRPr="00D63F51">
        <w:rPr>
          <w:rFonts w:hint="eastAsia"/>
          <w:b/>
          <w:szCs w:val="32"/>
        </w:rPr>
        <w:t>○○○</w:t>
      </w:r>
      <w:r w:rsidRPr="00D63F51">
        <w:rPr>
          <w:szCs w:val="32"/>
        </w:rPr>
        <w:t>教</w:t>
      </w:r>
      <w:r w:rsidRPr="005C1E4B">
        <w:rPr>
          <w:szCs w:val="32"/>
        </w:rPr>
        <w:t>育用品社等3家廠商，</w:t>
      </w:r>
      <w:r w:rsidRPr="005C1E4B">
        <w:rPr>
          <w:rFonts w:hint="eastAsia"/>
          <w:szCs w:val="32"/>
        </w:rPr>
        <w:t>於100年12月9日開標當日價格封開啟後，</w:t>
      </w:r>
      <w:proofErr w:type="gramStart"/>
      <w:r w:rsidRPr="005C1E4B">
        <w:rPr>
          <w:rFonts w:hint="eastAsia"/>
          <w:szCs w:val="32"/>
        </w:rPr>
        <w:t>均</w:t>
      </w:r>
      <w:r w:rsidRPr="005C1E4B">
        <w:rPr>
          <w:szCs w:val="32"/>
        </w:rPr>
        <w:t>以書面</w:t>
      </w:r>
      <w:proofErr w:type="gramEnd"/>
      <w:r w:rsidRPr="005C1E4B">
        <w:rPr>
          <w:szCs w:val="32"/>
        </w:rPr>
        <w:t>表示</w:t>
      </w:r>
      <w:proofErr w:type="gramStart"/>
      <w:r w:rsidRPr="005C1E4B">
        <w:rPr>
          <w:szCs w:val="32"/>
        </w:rPr>
        <w:t>前述組項</w:t>
      </w:r>
      <w:proofErr w:type="gramEnd"/>
      <w:r w:rsidRPr="005C1E4B">
        <w:rPr>
          <w:rFonts w:hint="eastAsia"/>
          <w:szCs w:val="32"/>
        </w:rPr>
        <w:t>「因報價時估算錯誤」</w:t>
      </w:r>
      <w:r w:rsidRPr="005C1E4B">
        <w:rPr>
          <w:szCs w:val="32"/>
        </w:rPr>
        <w:t>之</w:t>
      </w:r>
      <w:r w:rsidRPr="005C1E4B">
        <w:rPr>
          <w:rFonts w:hint="eastAsia"/>
          <w:szCs w:val="32"/>
        </w:rPr>
        <w:t>相同理由</w:t>
      </w:r>
      <w:r w:rsidRPr="005C1E4B">
        <w:rPr>
          <w:szCs w:val="32"/>
        </w:rPr>
        <w:t>，要求撤回其報價(</w:t>
      </w:r>
      <w:r w:rsidRPr="005C1E4B">
        <w:rPr>
          <w:rFonts w:hint="eastAsia"/>
          <w:szCs w:val="32"/>
        </w:rPr>
        <w:t>分別</w:t>
      </w:r>
      <w:r w:rsidRPr="005C1E4B">
        <w:rPr>
          <w:szCs w:val="32"/>
        </w:rPr>
        <w:t>撤回</w:t>
      </w:r>
      <w:r w:rsidRPr="005C1E4B">
        <w:rPr>
          <w:rFonts w:hint="eastAsia"/>
          <w:szCs w:val="32"/>
        </w:rPr>
        <w:t>「</w:t>
      </w:r>
      <w:r w:rsidRPr="005C1E4B">
        <w:rPr>
          <w:szCs w:val="32"/>
        </w:rPr>
        <w:t>1-6、2-6、3-6、4-6等4項</w:t>
      </w:r>
      <w:r w:rsidRPr="005C1E4B">
        <w:rPr>
          <w:rFonts w:hint="eastAsia"/>
          <w:szCs w:val="32"/>
        </w:rPr>
        <w:t>」、「</w:t>
      </w:r>
      <w:r w:rsidRPr="005C1E4B">
        <w:rPr>
          <w:szCs w:val="32"/>
        </w:rPr>
        <w:t>1-5、1-6、1-7等3項</w:t>
      </w:r>
      <w:r w:rsidRPr="005C1E4B">
        <w:rPr>
          <w:rFonts w:hint="eastAsia"/>
          <w:szCs w:val="32"/>
        </w:rPr>
        <w:t>」、「</w:t>
      </w:r>
      <w:r w:rsidRPr="005C1E4B">
        <w:rPr>
          <w:szCs w:val="32"/>
        </w:rPr>
        <w:t>全部28項</w:t>
      </w:r>
      <w:r w:rsidRPr="005C1E4B">
        <w:rPr>
          <w:rFonts w:hint="eastAsia"/>
          <w:szCs w:val="32"/>
        </w:rPr>
        <w:t>」，</w:t>
      </w:r>
      <w:r w:rsidRPr="005C1E4B">
        <w:rPr>
          <w:szCs w:val="32"/>
        </w:rPr>
        <w:t>合計撤回35項)，</w:t>
      </w:r>
      <w:r w:rsidRPr="005C1E4B">
        <w:rPr>
          <w:rFonts w:hint="eastAsia"/>
          <w:szCs w:val="32"/>
        </w:rPr>
        <w:t>其</w:t>
      </w:r>
      <w:r w:rsidRPr="005C1E4B">
        <w:rPr>
          <w:szCs w:val="32"/>
        </w:rPr>
        <w:t>要求撤回</w:t>
      </w:r>
      <w:r w:rsidRPr="005C1E4B">
        <w:rPr>
          <w:rFonts w:hint="eastAsia"/>
          <w:szCs w:val="32"/>
        </w:rPr>
        <w:t>之各</w:t>
      </w:r>
      <w:r w:rsidRPr="005C1E4B">
        <w:rPr>
          <w:szCs w:val="32"/>
        </w:rPr>
        <w:t>項</w:t>
      </w:r>
      <w:r w:rsidRPr="005C1E4B">
        <w:rPr>
          <w:rFonts w:hint="eastAsia"/>
          <w:szCs w:val="32"/>
        </w:rPr>
        <w:t>折扣率</w:t>
      </w:r>
      <w:r w:rsidRPr="005C1E4B">
        <w:rPr>
          <w:szCs w:val="32"/>
        </w:rPr>
        <w:t>報價</w:t>
      </w:r>
      <w:r w:rsidRPr="005C1E4B">
        <w:rPr>
          <w:rFonts w:hint="eastAsia"/>
          <w:szCs w:val="32"/>
        </w:rPr>
        <w:t>，皆為</w:t>
      </w:r>
      <w:r w:rsidRPr="005C1E4B">
        <w:rPr>
          <w:szCs w:val="32"/>
        </w:rPr>
        <w:t>中文圖</w:t>
      </w:r>
      <w:r w:rsidRPr="005C1E4B">
        <w:t>書</w:t>
      </w:r>
      <w:r w:rsidRPr="005C1E4B">
        <w:rPr>
          <w:rFonts w:hint="eastAsia"/>
        </w:rPr>
        <w:t>定價</w:t>
      </w:r>
      <w:r w:rsidRPr="005C1E4B">
        <w:rPr>
          <w:szCs w:val="32"/>
        </w:rPr>
        <w:t>百分之</w:t>
      </w:r>
      <w:r w:rsidRPr="005C1E4B">
        <w:rPr>
          <w:rFonts w:hint="eastAsia"/>
          <w:szCs w:val="32"/>
        </w:rPr>
        <w:t>七</w:t>
      </w:r>
      <w:r w:rsidRPr="005C1E4B">
        <w:rPr>
          <w:szCs w:val="32"/>
        </w:rPr>
        <w:t>十</w:t>
      </w:r>
      <w:r w:rsidRPr="005C1E4B">
        <w:rPr>
          <w:rFonts w:hint="eastAsia"/>
          <w:szCs w:val="32"/>
        </w:rPr>
        <w:t>，</w:t>
      </w:r>
      <w:r w:rsidRPr="005C1E4B">
        <w:rPr>
          <w:szCs w:val="32"/>
        </w:rPr>
        <w:t>均低於底價</w:t>
      </w:r>
      <w:r w:rsidRPr="005C1E4B">
        <w:rPr>
          <w:rFonts w:hint="eastAsia"/>
          <w:szCs w:val="32"/>
        </w:rPr>
        <w:t>，以及為</w:t>
      </w:r>
      <w:r w:rsidRPr="005C1E4B">
        <w:rPr>
          <w:rFonts w:hint="eastAsia"/>
        </w:rPr>
        <w:t>全部投標廠商之最低報價或恰為決標價，</w:t>
      </w:r>
      <w:r w:rsidRPr="005C1E4B">
        <w:t>且無</w:t>
      </w:r>
      <w:r w:rsidRPr="005C1E4B">
        <w:rPr>
          <w:rFonts w:hint="eastAsia"/>
        </w:rPr>
        <w:t>政府採購法規定之標價偏低情形。</w:t>
      </w:r>
      <w:proofErr w:type="gramStart"/>
      <w:r w:rsidRPr="005C1E4B">
        <w:rPr>
          <w:szCs w:val="32"/>
        </w:rPr>
        <w:t>嗣</w:t>
      </w:r>
      <w:proofErr w:type="gramEnd"/>
      <w:r w:rsidRPr="005C1E4B">
        <w:rPr>
          <w:rFonts w:hint="eastAsia"/>
        </w:rPr>
        <w:t>臺灣銀行</w:t>
      </w:r>
      <w:proofErr w:type="gramStart"/>
      <w:r w:rsidRPr="005C1E4B">
        <w:rPr>
          <w:szCs w:val="32"/>
        </w:rPr>
        <w:t>採購部</w:t>
      </w:r>
      <w:r w:rsidRPr="005C1E4B">
        <w:rPr>
          <w:rFonts w:hint="eastAsia"/>
          <w:szCs w:val="32"/>
        </w:rPr>
        <w:t>竟</w:t>
      </w:r>
      <w:r w:rsidRPr="005C1E4B">
        <w:rPr>
          <w:szCs w:val="32"/>
        </w:rPr>
        <w:t>同意</w:t>
      </w:r>
      <w:proofErr w:type="gramEnd"/>
      <w:r w:rsidRPr="005C1E4B">
        <w:rPr>
          <w:szCs w:val="32"/>
        </w:rPr>
        <w:t>註銷各</w:t>
      </w:r>
      <w:proofErr w:type="gramStart"/>
      <w:r w:rsidRPr="005C1E4B">
        <w:rPr>
          <w:szCs w:val="32"/>
        </w:rPr>
        <w:t>該組項之</w:t>
      </w:r>
      <w:proofErr w:type="gramEnd"/>
      <w:r w:rsidRPr="005C1E4B">
        <w:rPr>
          <w:szCs w:val="32"/>
        </w:rPr>
        <w:t>報價及沒收其部分或全部</w:t>
      </w:r>
      <w:r w:rsidRPr="005C1E4B">
        <w:rPr>
          <w:rFonts w:hint="eastAsia"/>
          <w:szCs w:val="32"/>
        </w:rPr>
        <w:t>之</w:t>
      </w:r>
      <w:r w:rsidRPr="005C1E4B">
        <w:rPr>
          <w:szCs w:val="32"/>
        </w:rPr>
        <w:t>押標金</w:t>
      </w:r>
      <w:proofErr w:type="gramStart"/>
      <w:r w:rsidRPr="005C1E4B">
        <w:rPr>
          <w:rFonts w:hint="eastAsia"/>
          <w:szCs w:val="32"/>
        </w:rPr>
        <w:t>（</w:t>
      </w:r>
      <w:proofErr w:type="gramEnd"/>
      <w:r w:rsidRPr="005C1E4B">
        <w:rPr>
          <w:szCs w:val="32"/>
        </w:rPr>
        <w:t>沒收</w:t>
      </w:r>
      <w:r w:rsidRPr="005C1E4B">
        <w:rPr>
          <w:rFonts w:hint="eastAsia"/>
          <w:szCs w:val="32"/>
        </w:rPr>
        <w:t>之</w:t>
      </w:r>
      <w:r w:rsidRPr="005C1E4B">
        <w:rPr>
          <w:szCs w:val="32"/>
        </w:rPr>
        <w:t>押標金</w:t>
      </w:r>
      <w:r w:rsidRPr="005C1E4B">
        <w:rPr>
          <w:rFonts w:hint="eastAsia"/>
          <w:szCs w:val="32"/>
        </w:rPr>
        <w:t>分別為</w:t>
      </w:r>
      <w:r w:rsidRPr="00D63F51">
        <w:rPr>
          <w:rFonts w:hint="eastAsia"/>
          <w:szCs w:val="32"/>
        </w:rPr>
        <w:t>：</w:t>
      </w:r>
      <w:r w:rsidR="00BE7FC8" w:rsidRPr="00D63F51">
        <w:rPr>
          <w:rFonts w:hint="eastAsia"/>
          <w:b/>
          <w:szCs w:val="32"/>
        </w:rPr>
        <w:t>○○</w:t>
      </w:r>
      <w:r w:rsidRPr="00D63F51">
        <w:rPr>
          <w:szCs w:val="32"/>
        </w:rPr>
        <w:t>影音圖書出版社</w:t>
      </w:r>
      <w:r w:rsidRPr="00D63F51">
        <w:rPr>
          <w:rFonts w:hint="eastAsia"/>
          <w:szCs w:val="32"/>
        </w:rPr>
        <w:t>2萬4千元</w:t>
      </w:r>
      <w:r w:rsidRPr="00D63F51">
        <w:rPr>
          <w:szCs w:val="32"/>
        </w:rPr>
        <w:t>、</w:t>
      </w:r>
      <w:r w:rsidR="00BE7FC8" w:rsidRPr="00D63F51">
        <w:rPr>
          <w:rFonts w:hint="eastAsia"/>
          <w:b/>
          <w:szCs w:val="32"/>
        </w:rPr>
        <w:t>○○○</w:t>
      </w:r>
      <w:r w:rsidRPr="00D63F51">
        <w:rPr>
          <w:szCs w:val="32"/>
        </w:rPr>
        <w:t>科學教育有限公司</w:t>
      </w:r>
      <w:r w:rsidRPr="00D63F51">
        <w:rPr>
          <w:rFonts w:hint="eastAsia"/>
          <w:szCs w:val="32"/>
        </w:rPr>
        <w:t>1萬8千元、</w:t>
      </w:r>
      <w:r w:rsidR="00BE7FC8" w:rsidRPr="00D63F51">
        <w:rPr>
          <w:rFonts w:hint="eastAsia"/>
          <w:b/>
          <w:szCs w:val="32"/>
        </w:rPr>
        <w:t>○○○</w:t>
      </w:r>
      <w:r w:rsidRPr="00D63F51">
        <w:rPr>
          <w:szCs w:val="32"/>
        </w:rPr>
        <w:t>教育用品社</w:t>
      </w:r>
      <w:r w:rsidRPr="00D63F51">
        <w:rPr>
          <w:rFonts w:hint="eastAsia"/>
          <w:szCs w:val="32"/>
        </w:rPr>
        <w:t>3萬</w:t>
      </w:r>
      <w:r w:rsidRPr="005C1E4B">
        <w:rPr>
          <w:rFonts w:hint="eastAsia"/>
          <w:szCs w:val="32"/>
        </w:rPr>
        <w:t>元，</w:t>
      </w:r>
      <w:r w:rsidRPr="005C1E4B">
        <w:rPr>
          <w:rFonts w:hint="eastAsia"/>
        </w:rPr>
        <w:t>計</w:t>
      </w:r>
      <w:r w:rsidRPr="005C1E4B">
        <w:rPr>
          <w:rFonts w:hint="eastAsia"/>
          <w:szCs w:val="32"/>
        </w:rPr>
        <w:t>7萬2千元</w:t>
      </w:r>
      <w:proofErr w:type="gramStart"/>
      <w:r w:rsidRPr="005C1E4B">
        <w:rPr>
          <w:rFonts w:hint="eastAsia"/>
          <w:szCs w:val="32"/>
        </w:rPr>
        <w:t>）</w:t>
      </w:r>
      <w:proofErr w:type="gramEnd"/>
      <w:r w:rsidRPr="005C1E4B">
        <w:rPr>
          <w:szCs w:val="32"/>
        </w:rPr>
        <w:t>，</w:t>
      </w:r>
      <w:r w:rsidRPr="005C1E4B">
        <w:rPr>
          <w:rFonts w:hint="eastAsia"/>
        </w:rPr>
        <w:t>經合於招標文件規定之廠商跟進決標價格後，共196家</w:t>
      </w:r>
      <w:proofErr w:type="gramStart"/>
      <w:r w:rsidRPr="005C1E4B">
        <w:rPr>
          <w:rFonts w:hint="eastAsia"/>
        </w:rPr>
        <w:t>併</w:t>
      </w:r>
      <w:proofErr w:type="gramEnd"/>
      <w:r w:rsidRPr="005C1E4B">
        <w:rPr>
          <w:rFonts w:hint="eastAsia"/>
        </w:rPr>
        <w:t>列為得標廠商；</w:t>
      </w:r>
      <w:r w:rsidRPr="005C1E4B">
        <w:rPr>
          <w:szCs w:val="32"/>
        </w:rPr>
        <w:t>肇致實際決標價格提高</w:t>
      </w:r>
      <w:r w:rsidRPr="005C1E4B">
        <w:rPr>
          <w:rFonts w:hint="eastAsia"/>
          <w:szCs w:val="32"/>
        </w:rPr>
        <w:t>（機關訂購總金額達</w:t>
      </w:r>
      <w:r w:rsidRPr="005C1E4B">
        <w:t>8</w:t>
      </w:r>
      <w:r w:rsidRPr="005C1E4B">
        <w:rPr>
          <w:rFonts w:hint="eastAsia"/>
        </w:rPr>
        <w:t>億</w:t>
      </w:r>
      <w:r w:rsidRPr="005C1E4B">
        <w:t>3,364</w:t>
      </w:r>
      <w:r w:rsidRPr="005C1E4B">
        <w:rPr>
          <w:rFonts w:hint="eastAsia"/>
        </w:rPr>
        <w:t>萬</w:t>
      </w:r>
      <w:r w:rsidRPr="005C1E4B">
        <w:t>6,417</w:t>
      </w:r>
      <w:r w:rsidRPr="005C1E4B">
        <w:rPr>
          <w:rFonts w:hint="eastAsia"/>
        </w:rPr>
        <w:t>元</w:t>
      </w:r>
      <w:r w:rsidRPr="005C1E4B">
        <w:rPr>
          <w:rFonts w:hint="eastAsia"/>
          <w:szCs w:val="32"/>
        </w:rPr>
        <w:t>）</w:t>
      </w:r>
      <w:r w:rsidRPr="005C1E4B">
        <w:rPr>
          <w:szCs w:val="32"/>
        </w:rPr>
        <w:t>，</w:t>
      </w:r>
      <w:r w:rsidRPr="005C1E4B">
        <w:rPr>
          <w:rFonts w:hint="eastAsia"/>
          <w:szCs w:val="32"/>
        </w:rPr>
        <w:t>其</w:t>
      </w:r>
      <w:r w:rsidRPr="005C1E4B">
        <w:rPr>
          <w:szCs w:val="32"/>
        </w:rPr>
        <w:t>增加訂購機關</w:t>
      </w:r>
      <w:proofErr w:type="gramStart"/>
      <w:r w:rsidRPr="005C1E4B">
        <w:rPr>
          <w:rFonts w:hint="eastAsia"/>
        </w:rPr>
        <w:t>101</w:t>
      </w:r>
      <w:proofErr w:type="gramEnd"/>
      <w:r w:rsidRPr="005C1E4B">
        <w:rPr>
          <w:rFonts w:hint="eastAsia"/>
        </w:rPr>
        <w:t>年度之</w:t>
      </w:r>
      <w:r w:rsidRPr="005C1E4B">
        <w:rPr>
          <w:szCs w:val="32"/>
        </w:rPr>
        <w:t>採購支出</w:t>
      </w:r>
      <w:r w:rsidRPr="005C1E4B">
        <w:rPr>
          <w:rFonts w:hint="eastAsia"/>
          <w:szCs w:val="32"/>
        </w:rPr>
        <w:t>達3,729萬餘元</w:t>
      </w:r>
      <w:r w:rsidRPr="005C1E4B">
        <w:rPr>
          <w:szCs w:val="32"/>
        </w:rPr>
        <w:t>。</w:t>
      </w:r>
    </w:p>
    <w:p w:rsidR="00271BE3" w:rsidRPr="005C1E4B" w:rsidRDefault="00271BE3" w:rsidP="00271BE3">
      <w:pPr>
        <w:pStyle w:val="3"/>
        <w:ind w:left="1394"/>
      </w:pPr>
      <w:r w:rsidRPr="005C1E4B">
        <w:rPr>
          <w:rFonts w:hint="eastAsia"/>
          <w:szCs w:val="32"/>
        </w:rPr>
        <w:t>次查審計部及工程會前曾指出臺灣銀行之前項缺失，然臺灣銀行仍辯稱：「按政府採購法第31條第2項第4款規定『機關得於招標文件中規定，廠商有下列情</w:t>
      </w:r>
      <w:r w:rsidRPr="005C1E4B">
        <w:rPr>
          <w:rFonts w:hint="eastAsia"/>
        </w:rPr>
        <w:t>形之一者，其所繳納之押標金，不予發還，其已發還者，並予追繳：…四、在報價有效期間內撤回其報價。』依其文義觀之，既明文規定廠商在報價期間內撤回報價為政府採購法所容許廠商可發生之情形之一，換言之，該法條係容許廠商於報價有效期間內得撤回其報價，</w:t>
      </w:r>
      <w:r w:rsidRPr="005C1E4B">
        <w:t>…</w:t>
      </w:r>
      <w:r w:rsidRPr="005C1E4B">
        <w:rPr>
          <w:rFonts w:hint="eastAsia"/>
        </w:rPr>
        <w:t>其所繳納之押標金，應予沒收。</w:t>
      </w:r>
      <w:r w:rsidRPr="005C1E4B">
        <w:t>…</w:t>
      </w:r>
      <w:r w:rsidRPr="005C1E4B">
        <w:rPr>
          <w:rFonts w:hint="eastAsia"/>
        </w:rPr>
        <w:t>查該規定及其立法理由並未就廠商撤回報價有任何條</w:t>
      </w:r>
      <w:r w:rsidRPr="005C1E4B">
        <w:rPr>
          <w:rFonts w:hint="eastAsia"/>
        </w:rPr>
        <w:lastRenderedPageBreak/>
        <w:t>件限制，故參與本案投標之廠商如有發生撤回報價之情形，臺灣銀行即依前揭政府採購法及招標文件規定沒收押標金，不論該廠商是否為最低標。</w:t>
      </w:r>
      <w:r w:rsidRPr="005C1E4B">
        <w:t>…</w:t>
      </w:r>
      <w:r w:rsidRPr="005C1E4B">
        <w:rPr>
          <w:rFonts w:hint="eastAsia"/>
        </w:rPr>
        <w:t>臺灣銀行乃依招標文件規定予以不發還押標金處分，</w:t>
      </w:r>
      <w:r w:rsidRPr="005C1E4B">
        <w:t>…</w:t>
      </w:r>
      <w:r w:rsidRPr="005C1E4B">
        <w:rPr>
          <w:rFonts w:hint="eastAsia"/>
        </w:rPr>
        <w:t>其過程均無違反政府採購法及招標文件規定之情形。」惟該銀行坦承：「</w:t>
      </w:r>
      <w:r w:rsidRPr="005C1E4B">
        <w:rPr>
          <w:rFonts w:hint="eastAsia"/>
          <w:lang w:val="zh-TW"/>
        </w:rPr>
        <w:t>部分中小企業廠商參加投標，目的在跟進併列得標後，可承做廠商當地少數機關訂購之業務，由於該類廠商實際上並無競價能力，渠等為避免錯報價格無法承做，或有報偏高價格之情形。</w:t>
      </w:r>
      <w:r w:rsidRPr="005C1E4B">
        <w:rPr>
          <w:rFonts w:hint="eastAsia"/>
        </w:rPr>
        <w:t>」又</w:t>
      </w:r>
      <w:r w:rsidRPr="005C1E4B">
        <w:rPr>
          <w:rFonts w:hAnsi="標楷體" w:hint="eastAsia"/>
        </w:rPr>
        <w:t>工程會於103年1月6日函示</w:t>
      </w:r>
      <w:r w:rsidRPr="005C1E4B">
        <w:rPr>
          <w:rFonts w:hint="eastAsia"/>
        </w:rPr>
        <w:t>臺灣銀行略以</w:t>
      </w:r>
      <w:r w:rsidRPr="005C1E4B">
        <w:rPr>
          <w:rFonts w:hAnsi="標楷體" w:hint="eastAsia"/>
        </w:rPr>
        <w:t>：「如(投標廠商)報價未有偏低情形，該等廠商主動表示估算錯誤，擬撤回報價，(招標機關)應不接受該最低標要求，照價決標。」</w:t>
      </w:r>
      <w:r w:rsidRPr="005C1E4B">
        <w:rPr>
          <w:rFonts w:hint="eastAsia"/>
        </w:rPr>
        <w:t>臺灣銀行其後僅表示</w:t>
      </w:r>
      <w:r w:rsidRPr="005C1E4B">
        <w:rPr>
          <w:rFonts w:hAnsi="標楷體" w:hint="eastAsia"/>
        </w:rPr>
        <w:t>：「採購案已依該函辦理，並配合修訂招標文件，加強採購教育訓練。」</w:t>
      </w:r>
      <w:r w:rsidRPr="005C1E4B">
        <w:rPr>
          <w:rFonts w:hint="eastAsia"/>
        </w:rPr>
        <w:t>工程會陳稱：「本案於開標宣布各廠商投標項目及標價後允許上開廠商撤回報價，致23個項次決標價高於廠商撤回之報價，該3家廠商及臺灣銀行採購部均有未依招標文件投標須知辦理之情形，均應檢討相關人員、廠商之責任。」嗣詢據工程會表示：「縱使投標廠商決標前向機關表示擬撤回報價，機關仍可拒絕，並於審查其符合招標文件後決標予該廠商，尚非機關不予發還押標金後，即可同意投標廠商撤回其報價。例如最低標廠商於報價有效期間內向機關表示撤回報價，機關不接受該最低標要求，照價決標，該廠商如拒不繳納履約保證金，機關即得依招標文件規定，不予發還其所繳納之押標金。工程會正式行文要求檢討改進，獲致訊息僅是加強人員訓練。」以上顯見臺灣銀行並未虛心檢討</w:t>
      </w:r>
      <w:r w:rsidRPr="005C1E4B">
        <w:rPr>
          <w:rFonts w:hint="eastAsia"/>
        </w:rPr>
        <w:lastRenderedPageBreak/>
        <w:t>坦承疏失。</w:t>
      </w:r>
    </w:p>
    <w:p w:rsidR="00271BE3" w:rsidRPr="005C1E4B" w:rsidRDefault="00271BE3" w:rsidP="00271BE3">
      <w:pPr>
        <w:pStyle w:val="3"/>
        <w:kinsoku w:val="0"/>
      </w:pPr>
      <w:r w:rsidRPr="005C1E4B">
        <w:rPr>
          <w:rFonts w:hint="eastAsia"/>
        </w:rPr>
        <w:t>綜上，政府採購法及同</w:t>
      </w:r>
      <w:r w:rsidRPr="005C1E4B">
        <w:rPr>
          <w:rFonts w:hAnsi="標楷體"/>
          <w:szCs w:val="32"/>
        </w:rPr>
        <w:t>法</w:t>
      </w:r>
      <w:r w:rsidRPr="005C1E4B">
        <w:rPr>
          <w:rFonts w:hAnsi="標楷體" w:hint="eastAsia"/>
          <w:szCs w:val="32"/>
        </w:rPr>
        <w:t>施行細則與工程會函令規定，</w:t>
      </w:r>
      <w:r w:rsidRPr="005C1E4B">
        <w:rPr>
          <w:szCs w:val="32"/>
        </w:rPr>
        <w:t>最低標廠商</w:t>
      </w:r>
      <w:r w:rsidRPr="005C1E4B">
        <w:rPr>
          <w:rFonts w:hint="eastAsia"/>
          <w:szCs w:val="32"/>
        </w:rPr>
        <w:t>之</w:t>
      </w:r>
      <w:r w:rsidRPr="005C1E4B">
        <w:rPr>
          <w:szCs w:val="32"/>
        </w:rPr>
        <w:t>標價在底</w:t>
      </w:r>
      <w:r w:rsidRPr="005C1E4B">
        <w:rPr>
          <w:rFonts w:hAnsi="標楷體"/>
          <w:szCs w:val="32"/>
        </w:rPr>
        <w:t>價以下，</w:t>
      </w:r>
      <w:r w:rsidRPr="005C1E4B">
        <w:rPr>
          <w:rFonts w:hAnsi="標楷體" w:hint="eastAsia"/>
          <w:szCs w:val="32"/>
        </w:rPr>
        <w:t>且未有該法規定之標價偏低情形，如</w:t>
      </w:r>
      <w:r w:rsidRPr="005C1E4B">
        <w:rPr>
          <w:rFonts w:hAnsi="標楷體"/>
          <w:szCs w:val="32"/>
        </w:rPr>
        <w:t>該最低標廠商主動表示標價錯誤，要求不決標予該廠商或</w:t>
      </w:r>
      <w:r w:rsidRPr="005C1E4B">
        <w:rPr>
          <w:szCs w:val="32"/>
        </w:rPr>
        <w:t>不接受決標時，機關不接受該最低標廠商要求，照價決標</w:t>
      </w:r>
      <w:r w:rsidRPr="005C1E4B">
        <w:rPr>
          <w:rFonts w:hint="eastAsia"/>
          <w:szCs w:val="32"/>
        </w:rPr>
        <w:t>。然</w:t>
      </w:r>
      <w:r w:rsidRPr="005C1E4B">
        <w:rPr>
          <w:rFonts w:hint="eastAsia"/>
        </w:rPr>
        <w:t>臺灣銀行</w:t>
      </w:r>
      <w:r w:rsidRPr="005C1E4B">
        <w:t>採購部</w:t>
      </w:r>
      <w:r w:rsidRPr="005C1E4B">
        <w:rPr>
          <w:rFonts w:hint="eastAsia"/>
        </w:rPr>
        <w:t>辦理101年度</w:t>
      </w:r>
      <w:r w:rsidRPr="005C1E4B">
        <w:rPr>
          <w:szCs w:val="32"/>
        </w:rPr>
        <w:t>「中文圖</w:t>
      </w:r>
      <w:r w:rsidRPr="005C1E4B">
        <w:t>書」共同供應契約</w:t>
      </w:r>
      <w:r w:rsidRPr="005C1E4B">
        <w:rPr>
          <w:rFonts w:hint="eastAsia"/>
        </w:rPr>
        <w:t>之</w:t>
      </w:r>
      <w:r w:rsidRPr="005C1E4B">
        <w:t>採購案</w:t>
      </w:r>
      <w:r w:rsidRPr="005C1E4B">
        <w:rPr>
          <w:rFonts w:hint="eastAsia"/>
        </w:rPr>
        <w:t>，於招標文件更已規定</w:t>
      </w:r>
      <w:r w:rsidRPr="005C1E4B">
        <w:t>投標廠商之投標文件/報價送達臺灣銀行指定之場所即生效</w:t>
      </w:r>
      <w:r w:rsidRPr="005C1E4B">
        <w:rPr>
          <w:rFonts w:hint="eastAsia"/>
        </w:rPr>
        <w:t>而</w:t>
      </w:r>
      <w:r w:rsidRPr="005C1E4B">
        <w:t>不得撤回</w:t>
      </w:r>
      <w:r w:rsidRPr="005C1E4B">
        <w:rPr>
          <w:rFonts w:hint="eastAsia"/>
        </w:rPr>
        <w:t>，</w:t>
      </w:r>
      <w:r w:rsidRPr="005C1E4B">
        <w:rPr>
          <w:rFonts w:hint="eastAsia"/>
          <w:szCs w:val="48"/>
        </w:rPr>
        <w:t>竟於開標當日且價格封開啟後，</w:t>
      </w:r>
      <w:r w:rsidRPr="005C1E4B">
        <w:rPr>
          <w:rFonts w:hint="eastAsia"/>
        </w:rPr>
        <w:t>同意</w:t>
      </w:r>
      <w:r w:rsidRPr="005C1E4B">
        <w:rPr>
          <w:szCs w:val="32"/>
        </w:rPr>
        <w:t>3家廠商</w:t>
      </w:r>
      <w:r w:rsidRPr="005C1E4B">
        <w:rPr>
          <w:rFonts w:hint="eastAsia"/>
          <w:szCs w:val="32"/>
        </w:rPr>
        <w:t>以「因報價時估算錯誤」</w:t>
      </w:r>
      <w:r w:rsidRPr="005C1E4B">
        <w:rPr>
          <w:szCs w:val="32"/>
        </w:rPr>
        <w:t>之</w:t>
      </w:r>
      <w:r w:rsidRPr="005C1E4B">
        <w:rPr>
          <w:rFonts w:hint="eastAsia"/>
          <w:szCs w:val="32"/>
        </w:rPr>
        <w:t>相同理由，撤回其均低於底價且無標價偏低之</w:t>
      </w:r>
      <w:r w:rsidRPr="005C1E4B">
        <w:rPr>
          <w:szCs w:val="32"/>
        </w:rPr>
        <w:t>35</w:t>
      </w:r>
      <w:r w:rsidRPr="005C1E4B">
        <w:rPr>
          <w:rFonts w:hint="eastAsia"/>
          <w:szCs w:val="32"/>
        </w:rPr>
        <w:t>項報價，並</w:t>
      </w:r>
      <w:r w:rsidRPr="005C1E4B">
        <w:rPr>
          <w:rFonts w:hint="eastAsia"/>
        </w:rPr>
        <w:t>僅</w:t>
      </w:r>
      <w:r w:rsidRPr="005C1E4B">
        <w:rPr>
          <w:szCs w:val="32"/>
        </w:rPr>
        <w:t>沒收押標金</w:t>
      </w:r>
      <w:r w:rsidRPr="005C1E4B">
        <w:rPr>
          <w:rFonts w:hint="eastAsia"/>
          <w:szCs w:val="32"/>
        </w:rPr>
        <w:t>7萬2千元</w:t>
      </w:r>
      <w:r w:rsidRPr="005C1E4B">
        <w:rPr>
          <w:rFonts w:hint="eastAsia"/>
        </w:rPr>
        <w:t>，</w:t>
      </w:r>
      <w:r w:rsidRPr="005C1E4B">
        <w:rPr>
          <w:szCs w:val="32"/>
        </w:rPr>
        <w:t>致實際決標價格提高</w:t>
      </w:r>
      <w:r w:rsidRPr="005C1E4B">
        <w:rPr>
          <w:rFonts w:hint="eastAsia"/>
          <w:szCs w:val="32"/>
        </w:rPr>
        <w:t>，</w:t>
      </w:r>
      <w:r w:rsidRPr="005C1E4B">
        <w:rPr>
          <w:rFonts w:hint="eastAsia"/>
        </w:rPr>
        <w:t>造成採購年度</w:t>
      </w:r>
      <w:r w:rsidRPr="005C1E4B">
        <w:rPr>
          <w:szCs w:val="32"/>
        </w:rPr>
        <w:t>增加訂購機關採購支出</w:t>
      </w:r>
      <w:r w:rsidRPr="005C1E4B">
        <w:rPr>
          <w:rFonts w:hint="eastAsia"/>
          <w:szCs w:val="32"/>
        </w:rPr>
        <w:t>達3千7百餘萬元。</w:t>
      </w:r>
      <w:r w:rsidRPr="005C1E4B">
        <w:rPr>
          <w:rFonts w:hint="eastAsia"/>
        </w:rPr>
        <w:t>臺灣銀行違反政府採購法及招標文件之規定，且對工程會及審計部要求檢討改進之意見，拒不坦承疏失責任，確有可議</w:t>
      </w:r>
      <w:r w:rsidRPr="005C1E4B">
        <w:rPr>
          <w:szCs w:val="32"/>
        </w:rPr>
        <w:t>。</w:t>
      </w:r>
    </w:p>
    <w:p w:rsidR="00967E4F" w:rsidRDefault="0078607C" w:rsidP="00063118">
      <w:pPr>
        <w:pStyle w:val="12"/>
        <w:kinsoku/>
        <w:spacing w:beforeLines="50"/>
        <w:ind w:left="680" w:firstLine="680"/>
        <w:rPr>
          <w:bCs/>
        </w:rPr>
      </w:pPr>
      <w:r>
        <w:rPr>
          <w:rFonts w:hint="eastAsia"/>
          <w:bCs/>
        </w:rPr>
        <w:t>據</w:t>
      </w:r>
      <w:r w:rsidR="00B34457">
        <w:rPr>
          <w:rFonts w:hint="eastAsia"/>
          <w:bCs/>
        </w:rPr>
        <w:t>上所述，</w:t>
      </w:r>
      <w:r w:rsidR="004F6E49" w:rsidRPr="005C1E4B">
        <w:rPr>
          <w:rFonts w:hint="eastAsia"/>
        </w:rPr>
        <w:t>臺灣銀行</w:t>
      </w:r>
      <w:r w:rsidR="004F6E49" w:rsidRPr="005C1E4B">
        <w:t>為代</w:t>
      </w:r>
      <w:r w:rsidR="004F6E49" w:rsidRPr="005C1E4B">
        <w:rPr>
          <w:rFonts w:hint="eastAsia"/>
        </w:rPr>
        <w:t>理</w:t>
      </w:r>
      <w:r w:rsidR="004F6E49" w:rsidRPr="005C1E4B">
        <w:t>各</w:t>
      </w:r>
      <w:r w:rsidR="004F6E49">
        <w:rPr>
          <w:rFonts w:hint="eastAsia"/>
        </w:rPr>
        <w:t>級政府</w:t>
      </w:r>
      <w:r w:rsidR="004F6E49" w:rsidRPr="005C1E4B">
        <w:t>機關以共同供應契約辦理採購之</w:t>
      </w:r>
      <w:r w:rsidR="004F6E49" w:rsidRPr="005C1E4B">
        <w:rPr>
          <w:rFonts w:hint="eastAsia"/>
        </w:rPr>
        <w:t>主要</w:t>
      </w:r>
      <w:r w:rsidR="004F6E49" w:rsidRPr="005C1E4B">
        <w:t>訂約機關</w:t>
      </w:r>
      <w:r w:rsidR="004F6E49" w:rsidRPr="005C1E4B">
        <w:rPr>
          <w:rFonts w:hint="eastAsia"/>
        </w:rPr>
        <w:t>，</w:t>
      </w:r>
      <w:r w:rsidR="004F6E49">
        <w:rPr>
          <w:rFonts w:hint="eastAsia"/>
        </w:rPr>
        <w:t>然於執行過程中竟</w:t>
      </w:r>
      <w:r w:rsidR="004F6E49" w:rsidRPr="005C1E4B">
        <w:rPr>
          <w:rFonts w:hint="eastAsia"/>
        </w:rPr>
        <w:t>存有</w:t>
      </w:r>
      <w:r w:rsidR="004F6E49" w:rsidRPr="005C1E4B">
        <w:rPr>
          <w:rFonts w:hint="eastAsia"/>
          <w:lang w:val="zh-TW"/>
        </w:rPr>
        <w:t>：</w:t>
      </w:r>
      <w:r w:rsidR="004F6E49" w:rsidRPr="005C1E4B">
        <w:rPr>
          <w:rFonts w:hint="eastAsia"/>
        </w:rPr>
        <w:t>廠商報價異常偏高</w:t>
      </w:r>
      <w:r w:rsidR="004F6E49" w:rsidRPr="005C1E4B">
        <w:rPr>
          <w:rFonts w:hint="eastAsia"/>
          <w:lang w:val="zh-TW"/>
        </w:rPr>
        <w:t>、</w:t>
      </w:r>
      <w:r w:rsidR="004F6E49" w:rsidRPr="005C1E4B">
        <w:rPr>
          <w:rFonts w:hint="eastAsia"/>
        </w:rPr>
        <w:t>投標廠商到場比減價比率偏低及得標率偏高</w:t>
      </w:r>
      <w:r w:rsidR="004F6E49" w:rsidRPr="005C1E4B">
        <w:rPr>
          <w:rFonts w:hint="eastAsia"/>
          <w:lang w:val="zh-TW"/>
        </w:rPr>
        <w:t>、</w:t>
      </w:r>
      <w:r w:rsidR="004F6E49" w:rsidRPr="005C1E4B">
        <w:rPr>
          <w:rFonts w:hint="eastAsia"/>
        </w:rPr>
        <w:t>底價參考來源及</w:t>
      </w:r>
      <w:r w:rsidR="004F6E49" w:rsidRPr="005C1E4B">
        <w:rPr>
          <w:rFonts w:hAnsi="標楷體" w:hint="eastAsia"/>
          <w:szCs w:val="32"/>
        </w:rPr>
        <w:t>查價次數</w:t>
      </w:r>
      <w:r w:rsidR="004F6E49" w:rsidRPr="005C1E4B">
        <w:rPr>
          <w:rFonts w:hint="eastAsia"/>
        </w:rPr>
        <w:t>不足或未經客觀分析與</w:t>
      </w:r>
      <w:r w:rsidR="004F6E49" w:rsidRPr="005C1E4B">
        <w:rPr>
          <w:rFonts w:hAnsi="標楷體" w:hint="eastAsia"/>
          <w:szCs w:val="32"/>
        </w:rPr>
        <w:t>集中於特定期間</w:t>
      </w:r>
      <w:r w:rsidR="004F6E49" w:rsidRPr="005C1E4B">
        <w:rPr>
          <w:rFonts w:hint="eastAsia"/>
          <w:lang w:val="zh-TW"/>
        </w:rPr>
        <w:t>、最大</w:t>
      </w:r>
      <w:r w:rsidR="004F6E49" w:rsidRPr="005C1E4B">
        <w:rPr>
          <w:rFonts w:hint="eastAsia"/>
        </w:rPr>
        <w:t>訂購門檻未考量各品項單價之差異</w:t>
      </w:r>
      <w:r w:rsidR="004F6E49" w:rsidRPr="005C1E4B">
        <w:rPr>
          <w:rFonts w:hint="eastAsia"/>
          <w:lang w:val="zh-TW"/>
        </w:rPr>
        <w:t>等情，</w:t>
      </w:r>
      <w:r w:rsidR="004F6E49" w:rsidRPr="005C1E4B">
        <w:rPr>
          <w:szCs w:val="32"/>
        </w:rPr>
        <w:t>致衍生立約商超額利潤，甚至誘發採購弊端</w:t>
      </w:r>
      <w:r w:rsidR="004F6E49" w:rsidRPr="005C1E4B">
        <w:rPr>
          <w:rFonts w:hint="eastAsia"/>
          <w:lang w:val="zh-TW"/>
        </w:rPr>
        <w:t>。</w:t>
      </w:r>
      <w:r w:rsidR="004F6E49">
        <w:rPr>
          <w:rFonts w:hint="eastAsia"/>
          <w:lang w:val="zh-TW"/>
        </w:rPr>
        <w:t>且經</w:t>
      </w:r>
      <w:r w:rsidR="004F6E49" w:rsidRPr="005C1E4B">
        <w:rPr>
          <w:rFonts w:cs="標楷體" w:hint="eastAsia"/>
          <w:szCs w:val="32"/>
          <w:lang w:val="zh-TW"/>
        </w:rPr>
        <w:t>司法機關偵辦</w:t>
      </w:r>
      <w:r w:rsidR="004F6E49" w:rsidRPr="005C1E4B">
        <w:rPr>
          <w:rFonts w:hint="eastAsia"/>
          <w:lang w:val="zh-TW"/>
        </w:rPr>
        <w:t>發現：部分標案之</w:t>
      </w:r>
      <w:r w:rsidR="004F6E49" w:rsidRPr="005C1E4B">
        <w:rPr>
          <w:rFonts w:cs="標楷體" w:hint="eastAsia"/>
          <w:szCs w:val="32"/>
          <w:lang w:val="zh-TW"/>
        </w:rPr>
        <w:t>決標單價高於市場行情及推銷滯銷低價產品，或</w:t>
      </w:r>
      <w:r w:rsidR="004F6E49" w:rsidRPr="005C1E4B">
        <w:rPr>
          <w:rFonts w:hint="eastAsia"/>
          <w:lang w:val="zh-TW"/>
        </w:rPr>
        <w:t>立約商共謀壟斷市場</w:t>
      </w:r>
      <w:r w:rsidR="004F6E49" w:rsidRPr="005C1E4B">
        <w:rPr>
          <w:rFonts w:cs="標楷體" w:hint="eastAsia"/>
          <w:szCs w:val="32"/>
          <w:lang w:val="zh-TW"/>
        </w:rPr>
        <w:t>，致有超額利潤行賄</w:t>
      </w:r>
      <w:r w:rsidR="004F6E49">
        <w:rPr>
          <w:rFonts w:cs="標楷體" w:hint="eastAsia"/>
          <w:szCs w:val="32"/>
          <w:lang w:val="zh-TW"/>
        </w:rPr>
        <w:t>；</w:t>
      </w:r>
      <w:r w:rsidR="004F6E49">
        <w:rPr>
          <w:rFonts w:hint="eastAsia"/>
          <w:lang w:val="zh-TW"/>
        </w:rPr>
        <w:t>又</w:t>
      </w:r>
      <w:r w:rsidR="004F6E49" w:rsidRPr="005C1E4B">
        <w:rPr>
          <w:rFonts w:hAnsi="標楷體" w:hint="eastAsia"/>
          <w:color w:val="000000"/>
          <w:szCs w:val="32"/>
        </w:rPr>
        <w:t>採購單位並未就採購品項落實訪、詢價</w:t>
      </w:r>
      <w:r w:rsidR="004F6E49" w:rsidRPr="005C1E4B">
        <w:rPr>
          <w:rFonts w:hint="eastAsia"/>
          <w:lang w:val="zh-TW"/>
        </w:rPr>
        <w:t>，以及商品市價通報機制形同虛設。</w:t>
      </w:r>
      <w:r w:rsidR="004F6E49">
        <w:rPr>
          <w:rFonts w:hint="eastAsia"/>
          <w:lang w:val="zh-TW"/>
        </w:rPr>
        <w:t>又據</w:t>
      </w:r>
      <w:r w:rsidR="004F6E49" w:rsidRPr="005C1E4B">
        <w:rPr>
          <w:rFonts w:hint="eastAsia"/>
          <w:lang w:val="zh-TW"/>
        </w:rPr>
        <w:t>工程會</w:t>
      </w:r>
      <w:r w:rsidR="004F6E49">
        <w:rPr>
          <w:rFonts w:hint="eastAsia"/>
          <w:lang w:val="zh-TW"/>
        </w:rPr>
        <w:t>核</w:t>
      </w:r>
      <w:r w:rsidR="004F6E49" w:rsidRPr="005C1E4B">
        <w:rPr>
          <w:rFonts w:hint="eastAsia"/>
          <w:lang w:val="zh-TW"/>
        </w:rPr>
        <w:t>認</w:t>
      </w:r>
      <w:r w:rsidR="004F6E49" w:rsidRPr="005C1E4B">
        <w:rPr>
          <w:rFonts w:hAnsi="標楷體" w:cs="HiddenHorzOCR" w:hint="eastAsia"/>
          <w:szCs w:val="32"/>
        </w:rPr>
        <w:t>臺灣銀行辦理</w:t>
      </w:r>
      <w:r w:rsidR="004F6E49" w:rsidRPr="005C1E4B">
        <w:rPr>
          <w:rFonts w:hint="eastAsia"/>
        </w:rPr>
        <w:t>共同供應契約迄今主要有：未落實履約期間查價機制、部分契約價格存有高額利潤或高於市場行情、未適當區分</w:t>
      </w:r>
      <w:r w:rsidR="004F6E49" w:rsidRPr="005C1E4B">
        <w:rPr>
          <w:rFonts w:hint="eastAsia"/>
        </w:rPr>
        <w:lastRenderedPageBreak/>
        <w:t>書籍年份及採購數量級距等缺失</w:t>
      </w:r>
      <w:r w:rsidR="004F6E49" w:rsidRPr="005C1E4B">
        <w:rPr>
          <w:rFonts w:hint="eastAsia"/>
          <w:lang w:val="zh-TW"/>
        </w:rPr>
        <w:t>，並已多次函文要求</w:t>
      </w:r>
      <w:r w:rsidR="001C72BF">
        <w:rPr>
          <w:rFonts w:hint="eastAsia"/>
          <w:lang w:val="zh-TW"/>
        </w:rPr>
        <w:t>該</w:t>
      </w:r>
      <w:r w:rsidR="004F6E49" w:rsidRPr="005C1E4B">
        <w:rPr>
          <w:rFonts w:hint="eastAsia"/>
          <w:lang w:val="zh-TW"/>
        </w:rPr>
        <w:t>銀行檢討改善，惟迄未妥善解決，致衍生後續弊端。</w:t>
      </w:r>
      <w:r w:rsidR="004F6E49">
        <w:rPr>
          <w:rFonts w:hint="eastAsia"/>
          <w:lang w:val="zh-TW"/>
        </w:rPr>
        <w:t>另</w:t>
      </w:r>
      <w:r w:rsidR="004F6E49" w:rsidRPr="005C1E4B">
        <w:rPr>
          <w:rFonts w:hint="eastAsia"/>
        </w:rPr>
        <w:t>臺灣銀行</w:t>
      </w:r>
      <w:r w:rsidR="004F6E49" w:rsidRPr="005C1E4B">
        <w:t>採購部</w:t>
      </w:r>
      <w:r w:rsidR="004F6E49" w:rsidRPr="005C1E4B">
        <w:rPr>
          <w:rFonts w:hint="eastAsia"/>
        </w:rPr>
        <w:t>辦理101年度</w:t>
      </w:r>
      <w:r w:rsidR="004F6E49" w:rsidRPr="005C1E4B">
        <w:rPr>
          <w:szCs w:val="32"/>
        </w:rPr>
        <w:t>「中文圖</w:t>
      </w:r>
      <w:r w:rsidR="004F6E49" w:rsidRPr="005C1E4B">
        <w:t>書」共同供應契約</w:t>
      </w:r>
      <w:r w:rsidR="004F6E49" w:rsidRPr="005C1E4B">
        <w:rPr>
          <w:rFonts w:hint="eastAsia"/>
        </w:rPr>
        <w:t>之</w:t>
      </w:r>
      <w:r w:rsidR="004F6E49" w:rsidRPr="005C1E4B">
        <w:t>採購案</w:t>
      </w:r>
      <w:r w:rsidR="001C72BF">
        <w:rPr>
          <w:rFonts w:hint="eastAsia"/>
        </w:rPr>
        <w:t>時</w:t>
      </w:r>
      <w:r w:rsidR="004F6E49" w:rsidRPr="005C1E4B">
        <w:rPr>
          <w:rFonts w:hint="eastAsia"/>
        </w:rPr>
        <w:t>，於招標文件已規定</w:t>
      </w:r>
      <w:r w:rsidR="004F6E49" w:rsidRPr="005C1E4B">
        <w:t>投標廠商之投標文件/報價送達</w:t>
      </w:r>
      <w:r w:rsidR="001C72BF">
        <w:rPr>
          <w:rFonts w:hint="eastAsia"/>
        </w:rPr>
        <w:t>後即</w:t>
      </w:r>
      <w:r w:rsidR="004F6E49" w:rsidRPr="005C1E4B">
        <w:t>不得撤回</w:t>
      </w:r>
      <w:r w:rsidR="004F6E49" w:rsidRPr="005C1E4B">
        <w:rPr>
          <w:rFonts w:hint="eastAsia"/>
        </w:rPr>
        <w:t>，</w:t>
      </w:r>
      <w:r w:rsidR="004F6E49" w:rsidRPr="005C1E4B">
        <w:rPr>
          <w:rFonts w:hint="eastAsia"/>
          <w:szCs w:val="48"/>
        </w:rPr>
        <w:t>竟於開標當日且價格封開啟後，</w:t>
      </w:r>
      <w:r w:rsidR="004F6E49" w:rsidRPr="005C1E4B">
        <w:rPr>
          <w:rFonts w:hint="eastAsia"/>
        </w:rPr>
        <w:t>同意</w:t>
      </w:r>
      <w:r w:rsidR="004F6E49" w:rsidRPr="005C1E4B">
        <w:rPr>
          <w:szCs w:val="32"/>
        </w:rPr>
        <w:t>3家廠商</w:t>
      </w:r>
      <w:r w:rsidR="004F6E49" w:rsidRPr="005C1E4B">
        <w:rPr>
          <w:rFonts w:hint="eastAsia"/>
          <w:szCs w:val="32"/>
        </w:rPr>
        <w:t>以「因報價時估算錯誤」</w:t>
      </w:r>
      <w:r w:rsidR="004F6E49" w:rsidRPr="005C1E4B">
        <w:rPr>
          <w:szCs w:val="32"/>
        </w:rPr>
        <w:t>之</w:t>
      </w:r>
      <w:r w:rsidR="004F6E49" w:rsidRPr="005C1E4B">
        <w:rPr>
          <w:rFonts w:hint="eastAsia"/>
          <w:szCs w:val="32"/>
        </w:rPr>
        <w:t>相同理由，撤回其均低於底價之</w:t>
      </w:r>
      <w:r w:rsidR="004F6E49" w:rsidRPr="005C1E4B">
        <w:rPr>
          <w:szCs w:val="32"/>
        </w:rPr>
        <w:t>35</w:t>
      </w:r>
      <w:r w:rsidR="004F6E49" w:rsidRPr="005C1E4B">
        <w:rPr>
          <w:rFonts w:hint="eastAsia"/>
          <w:szCs w:val="32"/>
        </w:rPr>
        <w:t>項報價，並</w:t>
      </w:r>
      <w:r w:rsidR="004F6E49" w:rsidRPr="005C1E4B">
        <w:rPr>
          <w:rFonts w:hint="eastAsia"/>
        </w:rPr>
        <w:t>僅</w:t>
      </w:r>
      <w:r w:rsidR="004F6E49" w:rsidRPr="005C1E4B">
        <w:rPr>
          <w:szCs w:val="32"/>
        </w:rPr>
        <w:t>沒收押標金</w:t>
      </w:r>
      <w:r w:rsidR="004F6E49" w:rsidRPr="005C1E4B">
        <w:rPr>
          <w:rFonts w:hint="eastAsia"/>
          <w:szCs w:val="32"/>
        </w:rPr>
        <w:t>7萬2千元</w:t>
      </w:r>
      <w:r w:rsidR="004F6E49" w:rsidRPr="005C1E4B">
        <w:rPr>
          <w:rFonts w:hint="eastAsia"/>
        </w:rPr>
        <w:t>，</w:t>
      </w:r>
      <w:r w:rsidR="004F6E49" w:rsidRPr="005C1E4B">
        <w:rPr>
          <w:szCs w:val="32"/>
        </w:rPr>
        <w:t>致實際決標價格提高</w:t>
      </w:r>
      <w:r w:rsidR="004F6E49" w:rsidRPr="005C1E4B">
        <w:rPr>
          <w:rFonts w:hint="eastAsia"/>
          <w:szCs w:val="32"/>
        </w:rPr>
        <w:t>，</w:t>
      </w:r>
      <w:r w:rsidR="004F6E49" w:rsidRPr="005C1E4B">
        <w:rPr>
          <w:rFonts w:hint="eastAsia"/>
        </w:rPr>
        <w:t>造成採購年度</w:t>
      </w:r>
      <w:r w:rsidR="004F6E49" w:rsidRPr="005C1E4B">
        <w:rPr>
          <w:szCs w:val="32"/>
        </w:rPr>
        <w:t>增加訂購機關</w:t>
      </w:r>
      <w:r w:rsidR="001C72BF">
        <w:rPr>
          <w:rFonts w:hint="eastAsia"/>
          <w:szCs w:val="32"/>
        </w:rPr>
        <w:t>之</w:t>
      </w:r>
      <w:r w:rsidR="004F6E49" w:rsidRPr="005C1E4B">
        <w:rPr>
          <w:szCs w:val="32"/>
        </w:rPr>
        <w:t>採購支出</w:t>
      </w:r>
      <w:r w:rsidR="004F6E49" w:rsidRPr="005C1E4B">
        <w:rPr>
          <w:rFonts w:hint="eastAsia"/>
          <w:szCs w:val="32"/>
        </w:rPr>
        <w:t>達3千7百餘萬元</w:t>
      </w:r>
      <w:r w:rsidR="004F6E49" w:rsidRPr="004F6E49">
        <w:rPr>
          <w:rFonts w:hint="eastAsia"/>
        </w:rPr>
        <w:t>，且</w:t>
      </w:r>
      <w:r w:rsidR="004F6E49" w:rsidRPr="005C1E4B">
        <w:rPr>
          <w:rFonts w:hint="eastAsia"/>
        </w:rPr>
        <w:t>拒不坦承疏</w:t>
      </w:r>
      <w:r w:rsidR="004F6E49" w:rsidRPr="004F6E49">
        <w:rPr>
          <w:rFonts w:hint="eastAsia"/>
        </w:rPr>
        <w:t>失責任，</w:t>
      </w:r>
      <w:r w:rsidR="00195EE3">
        <w:rPr>
          <w:rFonts w:hint="eastAsia"/>
        </w:rPr>
        <w:t>均核</w:t>
      </w:r>
      <w:r w:rsidR="004F6E49" w:rsidRPr="004F6E49">
        <w:rPr>
          <w:rFonts w:hint="eastAsia"/>
        </w:rPr>
        <w:t>有</w:t>
      </w:r>
      <w:r w:rsidR="004F6E49" w:rsidRPr="004F6E49">
        <w:rPr>
          <w:rFonts w:hint="eastAsia"/>
          <w:lang w:val="zh-TW"/>
        </w:rPr>
        <w:t>違失</w:t>
      </w:r>
      <w:r w:rsidR="00FF644E" w:rsidRPr="004F6E49">
        <w:rPr>
          <w:rFonts w:hAnsi="標楷體" w:cs="Helvetica" w:hint="eastAsia"/>
          <w:szCs w:val="32"/>
        </w:rPr>
        <w:t>，</w:t>
      </w:r>
      <w:r w:rsidR="00FF644E">
        <w:rPr>
          <w:rFonts w:hAnsi="標楷體" w:cs="Helvetica" w:hint="eastAsia"/>
          <w:color w:val="000000"/>
          <w:szCs w:val="32"/>
        </w:rPr>
        <w:t>爰依監察法第24條提案糾正，移送行政院並轉飭所屬確實檢討改善見復</w:t>
      </w:r>
      <w:r w:rsidR="00FF644E">
        <w:rPr>
          <w:rFonts w:hint="eastAsia"/>
          <w:bCs/>
        </w:rPr>
        <w:t>。</w:t>
      </w:r>
    </w:p>
    <w:p w:rsidR="00271BE3" w:rsidRDefault="00271BE3">
      <w:pPr>
        <w:widowControl/>
        <w:rPr>
          <w:rFonts w:ascii="標楷體"/>
          <w:bCs/>
          <w:spacing w:val="12"/>
          <w:kern w:val="0"/>
          <w:sz w:val="40"/>
        </w:rPr>
      </w:pPr>
      <w:bookmarkStart w:id="49" w:name="_Toc524895649"/>
      <w:bookmarkStart w:id="50" w:name="_Toc524896195"/>
      <w:bookmarkStart w:id="51" w:name="_Toc52489622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9"/>
      <w:bookmarkEnd w:id="50"/>
      <w:bookmarkEnd w:id="51"/>
    </w:p>
    <w:p w:rsidR="001C72BF" w:rsidRPr="001C72BF" w:rsidRDefault="001C72BF">
      <w:pPr>
        <w:widowControl/>
        <w:rPr>
          <w:rFonts w:ascii="標楷體"/>
          <w:bCs/>
          <w:spacing w:val="12"/>
          <w:kern w:val="0"/>
          <w:sz w:val="40"/>
        </w:rPr>
      </w:pPr>
    </w:p>
    <w:sectPr w:rsidR="001C72BF" w:rsidRPr="001C72BF" w:rsidSect="00A91E37">
      <w:footerReference w:type="even" r:id="rId8"/>
      <w:footerReference w:type="default" r:id="rId9"/>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FA3" w:rsidRDefault="001D7FA3" w:rsidP="00F77505">
      <w:r>
        <w:separator/>
      </w:r>
    </w:p>
  </w:endnote>
  <w:endnote w:type="continuationSeparator" w:id="0">
    <w:p w:rsidR="001D7FA3" w:rsidRDefault="001D7FA3"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新細明體"/>
    <w:charset w:val="01"/>
    <w:family w:val="roman"/>
    <w:pitch w:val="variable"/>
    <w:sig w:usb0="20003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зũ">
    <w:panose1 w:val="00000000000000000000"/>
    <w:charset w:val="00"/>
    <w:family w:val="roman"/>
    <w:notTrueType/>
    <w:pitch w:val="default"/>
    <w:sig w:usb0="00000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E61853">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E61853">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D63F51">
      <w:rPr>
        <w:rStyle w:val="a8"/>
        <w:noProof/>
        <w:sz w:val="24"/>
      </w:rPr>
      <w:t>13</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FA3" w:rsidRDefault="001D7FA3" w:rsidP="00F77505">
      <w:r>
        <w:separator/>
      </w:r>
    </w:p>
  </w:footnote>
  <w:footnote w:type="continuationSeparator" w:id="0">
    <w:p w:rsidR="001D7FA3" w:rsidRDefault="001D7FA3" w:rsidP="00F77505">
      <w:r>
        <w:continuationSeparator/>
      </w:r>
    </w:p>
  </w:footnote>
  <w:footnote w:id="1">
    <w:p w:rsidR="00271BE3" w:rsidRPr="00E63F6F" w:rsidRDefault="00271BE3" w:rsidP="00271BE3">
      <w:pPr>
        <w:pStyle w:val="af4"/>
        <w:rPr>
          <w:rFonts w:ascii="標楷體" w:hAnsi="標楷體"/>
        </w:rPr>
      </w:pPr>
      <w:r>
        <w:rPr>
          <w:rStyle w:val="af6"/>
        </w:rPr>
        <w:footnoteRef/>
      </w:r>
      <w:r w:rsidRPr="00E63F6F">
        <w:rPr>
          <w:rFonts w:ascii="標楷體" w:hAnsi="標楷體"/>
          <w:szCs w:val="32"/>
        </w:rPr>
        <w:t>臺灣銀行採購部為辦理指定採購項目招決標作業，並為增加機關視需要選擇供應廠商之機會，於88年7月30</w:t>
      </w:r>
      <w:r>
        <w:rPr>
          <w:rFonts w:ascii="標楷體" w:hAnsi="標楷體" w:hint="eastAsia"/>
          <w:szCs w:val="32"/>
        </w:rPr>
        <w:t>日</w:t>
      </w:r>
      <w:r w:rsidRPr="00E63F6F">
        <w:rPr>
          <w:rFonts w:ascii="標楷體" w:hAnsi="標楷體"/>
          <w:szCs w:val="32"/>
        </w:rPr>
        <w:t>經函報工程會同意採行「投標廠商之報價以符合招標文件規定，且在底價以內之最低標為得標原則；其他符合招標文件規定之廠商，如願減至最低標報價者，亦得併列為得標廠商」之決標方式。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4E029C1"/>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9167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611DCF"/>
    <w:multiLevelType w:val="hybridMultilevel"/>
    <w:tmpl w:val="E71CA73E"/>
    <w:lvl w:ilvl="0" w:tplc="35D478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14BD3F41"/>
    <w:multiLevelType w:val="multilevel"/>
    <w:tmpl w:val="CBA2BA62"/>
    <w:lvl w:ilvl="0">
      <w:start w:val="1"/>
      <w:numFmt w:val="decimal"/>
      <w:lvlText w:val="%1.0"/>
      <w:lvlJc w:val="left"/>
      <w:pPr>
        <w:tabs>
          <w:tab w:val="num" w:pos="851"/>
        </w:tabs>
        <w:ind w:left="851" w:hanging="851"/>
      </w:pPr>
      <w:rPr>
        <w:rFonts w:ascii="Times New Roman" w:eastAsia="標楷體" w:hAnsi="Times New Roman" w:hint="default"/>
        <w:b/>
        <w:i w:val="0"/>
        <w:sz w:val="24"/>
      </w:rPr>
    </w:lvl>
    <w:lvl w:ilvl="1">
      <w:start w:val="1"/>
      <w:numFmt w:val="decimal"/>
      <w:pStyle w:val="HSR2"/>
      <w:lvlText w:val="%1.%2"/>
      <w:lvlJc w:val="left"/>
      <w:pPr>
        <w:tabs>
          <w:tab w:val="num" w:pos="851"/>
        </w:tabs>
        <w:ind w:left="851" w:hanging="851"/>
      </w:pPr>
      <w:rPr>
        <w:rFonts w:ascii="Times New Roman" w:eastAsia="標楷體" w:hAnsi="Times New Roman" w:hint="default"/>
        <w:b w:val="0"/>
        <w:i w:val="0"/>
        <w:sz w:val="24"/>
      </w:rPr>
    </w:lvl>
    <w:lvl w:ilvl="2">
      <w:start w:val="1"/>
      <w:numFmt w:val="decimal"/>
      <w:lvlText w:val="%1.%2.%3"/>
      <w:lvlJc w:val="left"/>
      <w:pPr>
        <w:tabs>
          <w:tab w:val="num" w:pos="851"/>
        </w:tabs>
        <w:ind w:left="851" w:hanging="851"/>
      </w:pPr>
      <w:rPr>
        <w:rFonts w:ascii="Times New Roman" w:eastAsia="標楷體" w:hAnsi="Times New Roman" w:hint="default"/>
        <w:b w:val="0"/>
        <w:i w:val="0"/>
        <w:sz w:val="24"/>
      </w:rPr>
    </w:lvl>
    <w:lvl w:ilvl="3">
      <w:start w:val="1"/>
      <w:numFmt w:val="decimal"/>
      <w:lvlText w:val="%1.%2.%3.%4"/>
      <w:lvlJc w:val="left"/>
      <w:pPr>
        <w:tabs>
          <w:tab w:val="num" w:pos="851"/>
        </w:tabs>
        <w:ind w:left="851" w:hanging="851"/>
      </w:pPr>
      <w:rPr>
        <w:rFonts w:ascii="Times New Roman" w:eastAsia="標楷體" w:hAnsi="Times New Roman" w:hint="default"/>
        <w:b w:val="0"/>
        <w:i w:val="0"/>
        <w:color w:val="auto"/>
        <w:sz w:val="24"/>
      </w:rPr>
    </w:lvl>
    <w:lvl w:ilvl="4">
      <w:start w:val="1"/>
      <w:numFmt w:val="lowerLetter"/>
      <w:lvlText w:val="%5)"/>
      <w:lvlJc w:val="left"/>
      <w:pPr>
        <w:tabs>
          <w:tab w:val="num" w:pos="1276"/>
        </w:tabs>
        <w:ind w:left="1276" w:hanging="425"/>
      </w:pPr>
      <w:rPr>
        <w:rFonts w:ascii="Times New Roman" w:eastAsia="標楷體" w:hAnsi="Times New Roman" w:hint="default"/>
        <w:b w:val="0"/>
        <w:i w:val="0"/>
        <w:color w:val="auto"/>
        <w:sz w:val="24"/>
      </w:rPr>
    </w:lvl>
    <w:lvl w:ilvl="5">
      <w:start w:val="1"/>
      <w:numFmt w:val="lowerRoman"/>
      <w:lvlText w:val="%6)"/>
      <w:lvlJc w:val="left"/>
      <w:pPr>
        <w:tabs>
          <w:tab w:val="num" w:pos="1985"/>
        </w:tabs>
        <w:ind w:left="1985" w:hanging="709"/>
      </w:pPr>
      <w:rPr>
        <w:rFonts w:hint="default"/>
        <w:b w:val="0"/>
        <w:i w:val="0"/>
        <w:sz w:val="24"/>
      </w:rPr>
    </w:lvl>
    <w:lvl w:ilvl="6">
      <w:start w:val="1"/>
      <w:numFmt w:val="decimal"/>
      <w:lvlText w:val="(%7)"/>
      <w:lvlJc w:val="left"/>
      <w:pPr>
        <w:tabs>
          <w:tab w:val="num" w:pos="2410"/>
        </w:tabs>
        <w:ind w:left="2410" w:hanging="425"/>
      </w:pPr>
      <w:rPr>
        <w:rFonts w:ascii="Times New Roman" w:eastAsia="標楷體" w:hAnsi="Times New Roman" w:hint="default"/>
      </w:rPr>
    </w:lvl>
    <w:lvl w:ilvl="7">
      <w:start w:val="1"/>
      <w:numFmt w:val="bullet"/>
      <w:lvlText w:val=""/>
      <w:lvlJc w:val="left"/>
      <w:pPr>
        <w:tabs>
          <w:tab w:val="num" w:pos="2835"/>
        </w:tabs>
        <w:ind w:left="2835" w:hanging="425"/>
      </w:pPr>
      <w:rPr>
        <w:rFonts w:ascii="Symbol" w:hAnsi="Symbol" w:hint="default"/>
        <w:color w:val="auto"/>
      </w:rPr>
    </w:lvl>
    <w:lvl w:ilvl="8">
      <w:start w:val="1"/>
      <w:numFmt w:val="none"/>
      <w:lvlText w:val=""/>
      <w:lvlJc w:val="left"/>
      <w:pPr>
        <w:tabs>
          <w:tab w:val="num" w:pos="2770"/>
        </w:tabs>
        <w:ind w:left="2410" w:firstLine="0"/>
      </w:pPr>
      <w:rPr>
        <w:rFonts w:ascii="Wingdings" w:hAnsi="Wingdings" w:hint="default"/>
      </w:rPr>
    </w:lvl>
  </w:abstractNum>
  <w:abstractNum w:abstractNumId="8">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1F27476D"/>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D76CD9"/>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294DD3"/>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C54C34"/>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FA5CE1"/>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F16675"/>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2C533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2D7CA9"/>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AC4143"/>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78355E"/>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3A3E78"/>
    <w:multiLevelType w:val="hybridMultilevel"/>
    <w:tmpl w:val="9C3E6A8C"/>
    <w:lvl w:ilvl="0" w:tplc="151ADC78">
      <w:start w:val="1"/>
      <w:numFmt w:val="bullet"/>
      <w:lvlText w:val="–"/>
      <w:lvlJc w:val="left"/>
      <w:pPr>
        <w:tabs>
          <w:tab w:val="num" w:pos="720"/>
        </w:tabs>
        <w:ind w:left="720" w:hanging="360"/>
      </w:pPr>
      <w:rPr>
        <w:rFonts w:ascii="新細明體" w:hAnsi="新細明體" w:hint="default"/>
      </w:rPr>
    </w:lvl>
    <w:lvl w:ilvl="1" w:tplc="A90CB8DE">
      <w:start w:val="1"/>
      <w:numFmt w:val="bullet"/>
      <w:lvlText w:val="–"/>
      <w:lvlJc w:val="left"/>
      <w:pPr>
        <w:tabs>
          <w:tab w:val="num" w:pos="1440"/>
        </w:tabs>
        <w:ind w:left="1440" w:hanging="360"/>
      </w:pPr>
      <w:rPr>
        <w:rFonts w:ascii="新細明體" w:hAnsi="新細明體" w:hint="default"/>
      </w:rPr>
    </w:lvl>
    <w:lvl w:ilvl="2" w:tplc="9252C826" w:tentative="1">
      <w:start w:val="1"/>
      <w:numFmt w:val="bullet"/>
      <w:lvlText w:val="–"/>
      <w:lvlJc w:val="left"/>
      <w:pPr>
        <w:tabs>
          <w:tab w:val="num" w:pos="2160"/>
        </w:tabs>
        <w:ind w:left="2160" w:hanging="360"/>
      </w:pPr>
      <w:rPr>
        <w:rFonts w:ascii="新細明體" w:hAnsi="新細明體" w:hint="default"/>
      </w:rPr>
    </w:lvl>
    <w:lvl w:ilvl="3" w:tplc="D5F84D96" w:tentative="1">
      <w:start w:val="1"/>
      <w:numFmt w:val="bullet"/>
      <w:lvlText w:val="–"/>
      <w:lvlJc w:val="left"/>
      <w:pPr>
        <w:tabs>
          <w:tab w:val="num" w:pos="2880"/>
        </w:tabs>
        <w:ind w:left="2880" w:hanging="360"/>
      </w:pPr>
      <w:rPr>
        <w:rFonts w:ascii="新細明體" w:hAnsi="新細明體" w:hint="default"/>
      </w:rPr>
    </w:lvl>
    <w:lvl w:ilvl="4" w:tplc="D7E636CA" w:tentative="1">
      <w:start w:val="1"/>
      <w:numFmt w:val="bullet"/>
      <w:lvlText w:val="–"/>
      <w:lvlJc w:val="left"/>
      <w:pPr>
        <w:tabs>
          <w:tab w:val="num" w:pos="3600"/>
        </w:tabs>
        <w:ind w:left="3600" w:hanging="360"/>
      </w:pPr>
      <w:rPr>
        <w:rFonts w:ascii="新細明體" w:hAnsi="新細明體" w:hint="default"/>
      </w:rPr>
    </w:lvl>
    <w:lvl w:ilvl="5" w:tplc="4C32AF84" w:tentative="1">
      <w:start w:val="1"/>
      <w:numFmt w:val="bullet"/>
      <w:lvlText w:val="–"/>
      <w:lvlJc w:val="left"/>
      <w:pPr>
        <w:tabs>
          <w:tab w:val="num" w:pos="4320"/>
        </w:tabs>
        <w:ind w:left="4320" w:hanging="360"/>
      </w:pPr>
      <w:rPr>
        <w:rFonts w:ascii="新細明體" w:hAnsi="新細明體" w:hint="default"/>
      </w:rPr>
    </w:lvl>
    <w:lvl w:ilvl="6" w:tplc="E06ACE58" w:tentative="1">
      <w:start w:val="1"/>
      <w:numFmt w:val="bullet"/>
      <w:lvlText w:val="–"/>
      <w:lvlJc w:val="left"/>
      <w:pPr>
        <w:tabs>
          <w:tab w:val="num" w:pos="5040"/>
        </w:tabs>
        <w:ind w:left="5040" w:hanging="360"/>
      </w:pPr>
      <w:rPr>
        <w:rFonts w:ascii="新細明體" w:hAnsi="新細明體" w:hint="default"/>
      </w:rPr>
    </w:lvl>
    <w:lvl w:ilvl="7" w:tplc="C42410B6" w:tentative="1">
      <w:start w:val="1"/>
      <w:numFmt w:val="bullet"/>
      <w:lvlText w:val="–"/>
      <w:lvlJc w:val="left"/>
      <w:pPr>
        <w:tabs>
          <w:tab w:val="num" w:pos="5760"/>
        </w:tabs>
        <w:ind w:left="5760" w:hanging="360"/>
      </w:pPr>
      <w:rPr>
        <w:rFonts w:ascii="新細明體" w:hAnsi="新細明體" w:hint="default"/>
      </w:rPr>
    </w:lvl>
    <w:lvl w:ilvl="8" w:tplc="9742608E" w:tentative="1">
      <w:start w:val="1"/>
      <w:numFmt w:val="bullet"/>
      <w:lvlText w:val="–"/>
      <w:lvlJc w:val="left"/>
      <w:pPr>
        <w:tabs>
          <w:tab w:val="num" w:pos="6480"/>
        </w:tabs>
        <w:ind w:left="6480" w:hanging="360"/>
      </w:pPr>
      <w:rPr>
        <w:rFonts w:ascii="新細明體" w:hAnsi="新細明體" w:hint="default"/>
      </w:rPr>
    </w:lvl>
  </w:abstractNum>
  <w:abstractNum w:abstractNumId="22">
    <w:nsid w:val="644C773B"/>
    <w:multiLevelType w:val="hybridMultilevel"/>
    <w:tmpl w:val="E88E283C"/>
    <w:lvl w:ilvl="0" w:tplc="037C0C2E">
      <w:start w:val="1"/>
      <w:numFmt w:val="bullet"/>
      <w:lvlText w:val="•"/>
      <w:lvlJc w:val="left"/>
      <w:pPr>
        <w:tabs>
          <w:tab w:val="num" w:pos="720"/>
        </w:tabs>
        <w:ind w:left="720" w:hanging="360"/>
      </w:pPr>
      <w:rPr>
        <w:rFonts w:ascii="新細明體" w:hAnsi="新細明體" w:hint="default"/>
      </w:rPr>
    </w:lvl>
    <w:lvl w:ilvl="1" w:tplc="80302E48" w:tentative="1">
      <w:start w:val="1"/>
      <w:numFmt w:val="bullet"/>
      <w:lvlText w:val="•"/>
      <w:lvlJc w:val="left"/>
      <w:pPr>
        <w:tabs>
          <w:tab w:val="num" w:pos="1440"/>
        </w:tabs>
        <w:ind w:left="1440" w:hanging="360"/>
      </w:pPr>
      <w:rPr>
        <w:rFonts w:ascii="新細明體" w:hAnsi="新細明體" w:hint="default"/>
      </w:rPr>
    </w:lvl>
    <w:lvl w:ilvl="2" w:tplc="D63C5D06" w:tentative="1">
      <w:start w:val="1"/>
      <w:numFmt w:val="bullet"/>
      <w:lvlText w:val="•"/>
      <w:lvlJc w:val="left"/>
      <w:pPr>
        <w:tabs>
          <w:tab w:val="num" w:pos="2160"/>
        </w:tabs>
        <w:ind w:left="2160" w:hanging="360"/>
      </w:pPr>
      <w:rPr>
        <w:rFonts w:ascii="新細明體" w:hAnsi="新細明體" w:hint="default"/>
      </w:rPr>
    </w:lvl>
    <w:lvl w:ilvl="3" w:tplc="11B6E3F8" w:tentative="1">
      <w:start w:val="1"/>
      <w:numFmt w:val="bullet"/>
      <w:lvlText w:val="•"/>
      <w:lvlJc w:val="left"/>
      <w:pPr>
        <w:tabs>
          <w:tab w:val="num" w:pos="2880"/>
        </w:tabs>
        <w:ind w:left="2880" w:hanging="360"/>
      </w:pPr>
      <w:rPr>
        <w:rFonts w:ascii="新細明體" w:hAnsi="新細明體" w:hint="default"/>
      </w:rPr>
    </w:lvl>
    <w:lvl w:ilvl="4" w:tplc="28325D52" w:tentative="1">
      <w:start w:val="1"/>
      <w:numFmt w:val="bullet"/>
      <w:lvlText w:val="•"/>
      <w:lvlJc w:val="left"/>
      <w:pPr>
        <w:tabs>
          <w:tab w:val="num" w:pos="3600"/>
        </w:tabs>
        <w:ind w:left="3600" w:hanging="360"/>
      </w:pPr>
      <w:rPr>
        <w:rFonts w:ascii="新細明體" w:hAnsi="新細明體" w:hint="default"/>
      </w:rPr>
    </w:lvl>
    <w:lvl w:ilvl="5" w:tplc="959C00B8" w:tentative="1">
      <w:start w:val="1"/>
      <w:numFmt w:val="bullet"/>
      <w:lvlText w:val="•"/>
      <w:lvlJc w:val="left"/>
      <w:pPr>
        <w:tabs>
          <w:tab w:val="num" w:pos="4320"/>
        </w:tabs>
        <w:ind w:left="4320" w:hanging="360"/>
      </w:pPr>
      <w:rPr>
        <w:rFonts w:ascii="新細明體" w:hAnsi="新細明體" w:hint="default"/>
      </w:rPr>
    </w:lvl>
    <w:lvl w:ilvl="6" w:tplc="CE88D684" w:tentative="1">
      <w:start w:val="1"/>
      <w:numFmt w:val="bullet"/>
      <w:lvlText w:val="•"/>
      <w:lvlJc w:val="left"/>
      <w:pPr>
        <w:tabs>
          <w:tab w:val="num" w:pos="5040"/>
        </w:tabs>
        <w:ind w:left="5040" w:hanging="360"/>
      </w:pPr>
      <w:rPr>
        <w:rFonts w:ascii="新細明體" w:hAnsi="新細明體" w:hint="default"/>
      </w:rPr>
    </w:lvl>
    <w:lvl w:ilvl="7" w:tplc="1EF040AC" w:tentative="1">
      <w:start w:val="1"/>
      <w:numFmt w:val="bullet"/>
      <w:lvlText w:val="•"/>
      <w:lvlJc w:val="left"/>
      <w:pPr>
        <w:tabs>
          <w:tab w:val="num" w:pos="5760"/>
        </w:tabs>
        <w:ind w:left="5760" w:hanging="360"/>
      </w:pPr>
      <w:rPr>
        <w:rFonts w:ascii="新細明體" w:hAnsi="新細明體" w:hint="default"/>
      </w:rPr>
    </w:lvl>
    <w:lvl w:ilvl="8" w:tplc="6654437C" w:tentative="1">
      <w:start w:val="1"/>
      <w:numFmt w:val="bullet"/>
      <w:lvlText w:val="•"/>
      <w:lvlJc w:val="left"/>
      <w:pPr>
        <w:tabs>
          <w:tab w:val="num" w:pos="6480"/>
        </w:tabs>
        <w:ind w:left="6480" w:hanging="360"/>
      </w:pPr>
      <w:rPr>
        <w:rFonts w:ascii="新細明體" w:hAnsi="新細明體" w:hint="default"/>
      </w:rPr>
    </w:lvl>
  </w:abstractNum>
  <w:abstractNum w:abstractNumId="23">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abstractNum w:abstractNumId="24">
    <w:nsid w:val="735D7DE6"/>
    <w:multiLevelType w:val="hybridMultilevel"/>
    <w:tmpl w:val="5470DC0A"/>
    <w:lvl w:ilvl="0" w:tplc="05B8A116">
      <w:start w:val="1"/>
      <w:numFmt w:val="bullet"/>
      <w:lvlText w:val="•"/>
      <w:lvlJc w:val="left"/>
      <w:pPr>
        <w:tabs>
          <w:tab w:val="num" w:pos="720"/>
        </w:tabs>
        <w:ind w:left="720" w:hanging="360"/>
      </w:pPr>
      <w:rPr>
        <w:rFonts w:ascii="新細明體" w:hAnsi="新細明體" w:hint="default"/>
      </w:rPr>
    </w:lvl>
    <w:lvl w:ilvl="1" w:tplc="6208427C" w:tentative="1">
      <w:start w:val="1"/>
      <w:numFmt w:val="bullet"/>
      <w:lvlText w:val="•"/>
      <w:lvlJc w:val="left"/>
      <w:pPr>
        <w:tabs>
          <w:tab w:val="num" w:pos="1440"/>
        </w:tabs>
        <w:ind w:left="1440" w:hanging="360"/>
      </w:pPr>
      <w:rPr>
        <w:rFonts w:ascii="新細明體" w:hAnsi="新細明體" w:hint="default"/>
      </w:rPr>
    </w:lvl>
    <w:lvl w:ilvl="2" w:tplc="09D0DEC2" w:tentative="1">
      <w:start w:val="1"/>
      <w:numFmt w:val="bullet"/>
      <w:lvlText w:val="•"/>
      <w:lvlJc w:val="left"/>
      <w:pPr>
        <w:tabs>
          <w:tab w:val="num" w:pos="2160"/>
        </w:tabs>
        <w:ind w:left="2160" w:hanging="360"/>
      </w:pPr>
      <w:rPr>
        <w:rFonts w:ascii="新細明體" w:hAnsi="新細明體" w:hint="default"/>
      </w:rPr>
    </w:lvl>
    <w:lvl w:ilvl="3" w:tplc="4148FBB0" w:tentative="1">
      <w:start w:val="1"/>
      <w:numFmt w:val="bullet"/>
      <w:lvlText w:val="•"/>
      <w:lvlJc w:val="left"/>
      <w:pPr>
        <w:tabs>
          <w:tab w:val="num" w:pos="2880"/>
        </w:tabs>
        <w:ind w:left="2880" w:hanging="360"/>
      </w:pPr>
      <w:rPr>
        <w:rFonts w:ascii="新細明體" w:hAnsi="新細明體" w:hint="default"/>
      </w:rPr>
    </w:lvl>
    <w:lvl w:ilvl="4" w:tplc="2CCABE54" w:tentative="1">
      <w:start w:val="1"/>
      <w:numFmt w:val="bullet"/>
      <w:lvlText w:val="•"/>
      <w:lvlJc w:val="left"/>
      <w:pPr>
        <w:tabs>
          <w:tab w:val="num" w:pos="3600"/>
        </w:tabs>
        <w:ind w:left="3600" w:hanging="360"/>
      </w:pPr>
      <w:rPr>
        <w:rFonts w:ascii="新細明體" w:hAnsi="新細明體" w:hint="default"/>
      </w:rPr>
    </w:lvl>
    <w:lvl w:ilvl="5" w:tplc="2CDC641E" w:tentative="1">
      <w:start w:val="1"/>
      <w:numFmt w:val="bullet"/>
      <w:lvlText w:val="•"/>
      <w:lvlJc w:val="left"/>
      <w:pPr>
        <w:tabs>
          <w:tab w:val="num" w:pos="4320"/>
        </w:tabs>
        <w:ind w:left="4320" w:hanging="360"/>
      </w:pPr>
      <w:rPr>
        <w:rFonts w:ascii="新細明體" w:hAnsi="新細明體" w:hint="default"/>
      </w:rPr>
    </w:lvl>
    <w:lvl w:ilvl="6" w:tplc="2C38C21E" w:tentative="1">
      <w:start w:val="1"/>
      <w:numFmt w:val="bullet"/>
      <w:lvlText w:val="•"/>
      <w:lvlJc w:val="left"/>
      <w:pPr>
        <w:tabs>
          <w:tab w:val="num" w:pos="5040"/>
        </w:tabs>
        <w:ind w:left="5040" w:hanging="360"/>
      </w:pPr>
      <w:rPr>
        <w:rFonts w:ascii="新細明體" w:hAnsi="新細明體" w:hint="default"/>
      </w:rPr>
    </w:lvl>
    <w:lvl w:ilvl="7" w:tplc="B2D40B6A" w:tentative="1">
      <w:start w:val="1"/>
      <w:numFmt w:val="bullet"/>
      <w:lvlText w:val="•"/>
      <w:lvlJc w:val="left"/>
      <w:pPr>
        <w:tabs>
          <w:tab w:val="num" w:pos="5760"/>
        </w:tabs>
        <w:ind w:left="5760" w:hanging="360"/>
      </w:pPr>
      <w:rPr>
        <w:rFonts w:ascii="新細明體" w:hAnsi="新細明體" w:hint="default"/>
      </w:rPr>
    </w:lvl>
    <w:lvl w:ilvl="8" w:tplc="3D540F10" w:tentative="1">
      <w:start w:val="1"/>
      <w:numFmt w:val="bullet"/>
      <w:lvlText w:val="•"/>
      <w:lvlJc w:val="left"/>
      <w:pPr>
        <w:tabs>
          <w:tab w:val="num" w:pos="6480"/>
        </w:tabs>
        <w:ind w:left="6480" w:hanging="360"/>
      </w:pPr>
      <w:rPr>
        <w:rFonts w:ascii="新細明體" w:hAnsi="新細明體" w:hint="default"/>
      </w:rPr>
    </w:lvl>
  </w:abstractNum>
  <w:abstractNum w:abstractNumId="25">
    <w:nsid w:val="74104F62"/>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4C22EC"/>
    <w:multiLevelType w:val="hybridMultilevel"/>
    <w:tmpl w:val="5CB4C22E"/>
    <w:lvl w:ilvl="0" w:tplc="0DF610CC">
      <w:start w:val="1"/>
      <w:numFmt w:val="decimal"/>
      <w:lvlText w:val="%1."/>
      <w:lvlJc w:val="left"/>
      <w:pPr>
        <w:tabs>
          <w:tab w:val="num" w:pos="1700"/>
        </w:tabs>
        <w:ind w:left="1700" w:hanging="720"/>
      </w:pPr>
      <w:rPr>
        <w:rFonts w:hint="eastAsia"/>
        <w:caps w:val="0"/>
        <w:strike w:val="0"/>
        <w:dstrike w:val="0"/>
        <w:shadow w:val="0"/>
        <w:emboss w:val="0"/>
        <w:imprint w:val="0"/>
        <w:vanish w:val="0"/>
        <w:sz w:val="28"/>
        <w:vertAlign w:val="baseline"/>
      </w:rPr>
    </w:lvl>
    <w:lvl w:ilvl="1" w:tplc="04090019" w:tentative="1">
      <w:start w:val="1"/>
      <w:numFmt w:val="ideographTraditional"/>
      <w:lvlText w:val="%2、"/>
      <w:lvlJc w:val="left"/>
      <w:pPr>
        <w:tabs>
          <w:tab w:val="num" w:pos="1940"/>
        </w:tabs>
        <w:ind w:left="1940" w:hanging="480"/>
      </w:pPr>
    </w:lvl>
    <w:lvl w:ilvl="2" w:tplc="0409001B" w:tentative="1">
      <w:start w:val="1"/>
      <w:numFmt w:val="lowerRoman"/>
      <w:lvlText w:val="%3."/>
      <w:lvlJc w:val="right"/>
      <w:pPr>
        <w:tabs>
          <w:tab w:val="num" w:pos="2420"/>
        </w:tabs>
        <w:ind w:left="2420" w:hanging="480"/>
      </w:pPr>
    </w:lvl>
    <w:lvl w:ilvl="3" w:tplc="0409000F" w:tentative="1">
      <w:start w:val="1"/>
      <w:numFmt w:val="decimal"/>
      <w:lvlText w:val="%4."/>
      <w:lvlJc w:val="left"/>
      <w:pPr>
        <w:tabs>
          <w:tab w:val="num" w:pos="2900"/>
        </w:tabs>
        <w:ind w:left="2900" w:hanging="480"/>
      </w:pPr>
    </w:lvl>
    <w:lvl w:ilvl="4" w:tplc="04090019" w:tentative="1">
      <w:start w:val="1"/>
      <w:numFmt w:val="ideographTraditional"/>
      <w:lvlText w:val="%5、"/>
      <w:lvlJc w:val="left"/>
      <w:pPr>
        <w:tabs>
          <w:tab w:val="num" w:pos="3380"/>
        </w:tabs>
        <w:ind w:left="3380" w:hanging="480"/>
      </w:pPr>
    </w:lvl>
    <w:lvl w:ilvl="5" w:tplc="0409001B" w:tentative="1">
      <w:start w:val="1"/>
      <w:numFmt w:val="lowerRoman"/>
      <w:lvlText w:val="%6."/>
      <w:lvlJc w:val="right"/>
      <w:pPr>
        <w:tabs>
          <w:tab w:val="num" w:pos="3860"/>
        </w:tabs>
        <w:ind w:left="3860" w:hanging="480"/>
      </w:pPr>
    </w:lvl>
    <w:lvl w:ilvl="6" w:tplc="0409000F" w:tentative="1">
      <w:start w:val="1"/>
      <w:numFmt w:val="decimal"/>
      <w:lvlText w:val="%7."/>
      <w:lvlJc w:val="left"/>
      <w:pPr>
        <w:tabs>
          <w:tab w:val="num" w:pos="4340"/>
        </w:tabs>
        <w:ind w:left="4340" w:hanging="480"/>
      </w:pPr>
    </w:lvl>
    <w:lvl w:ilvl="7" w:tplc="04090019" w:tentative="1">
      <w:start w:val="1"/>
      <w:numFmt w:val="ideographTraditional"/>
      <w:lvlText w:val="%8、"/>
      <w:lvlJc w:val="left"/>
      <w:pPr>
        <w:tabs>
          <w:tab w:val="num" w:pos="4820"/>
        </w:tabs>
        <w:ind w:left="4820" w:hanging="480"/>
      </w:pPr>
    </w:lvl>
    <w:lvl w:ilvl="8" w:tplc="0409001B" w:tentative="1">
      <w:start w:val="1"/>
      <w:numFmt w:val="lowerRoman"/>
      <w:lvlText w:val="%9."/>
      <w:lvlJc w:val="right"/>
      <w:pPr>
        <w:tabs>
          <w:tab w:val="num" w:pos="5300"/>
        </w:tabs>
        <w:ind w:left="5300" w:hanging="480"/>
      </w:pPr>
    </w:lvl>
  </w:abstractNum>
  <w:abstractNum w:abstractNumId="27">
    <w:nsid w:val="76CF311C"/>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3"/>
  </w:num>
  <w:num w:numId="10">
    <w:abstractNumId w:val="2"/>
  </w:num>
  <w:num w:numId="11">
    <w:abstractNumId w:val="7"/>
  </w:num>
  <w:num w:numId="12">
    <w:abstractNumId w:val="5"/>
  </w:num>
  <w:num w:numId="13">
    <w:abstractNumId w:val="16"/>
  </w:num>
  <w:num w:numId="14">
    <w:abstractNumId w:val="17"/>
  </w:num>
  <w:num w:numId="15">
    <w:abstractNumId w:val="27"/>
  </w:num>
  <w:num w:numId="16">
    <w:abstractNumId w:val="19"/>
  </w:num>
  <w:num w:numId="17">
    <w:abstractNumId w:val="11"/>
  </w:num>
  <w:num w:numId="18">
    <w:abstractNumId w:val="25"/>
  </w:num>
  <w:num w:numId="19">
    <w:abstractNumId w:val="1"/>
  </w:num>
  <w:num w:numId="20">
    <w:abstractNumId w:val="26"/>
  </w:num>
  <w:num w:numId="21">
    <w:abstractNumId w:val="21"/>
  </w:num>
  <w:num w:numId="22">
    <w:abstractNumId w:val="24"/>
  </w:num>
  <w:num w:numId="23">
    <w:abstractNumId w:val="22"/>
  </w:num>
  <w:num w:numId="24">
    <w:abstractNumId w:val="13"/>
  </w:num>
  <w:num w:numId="25">
    <w:abstractNumId w:val="20"/>
  </w:num>
  <w:num w:numId="26">
    <w:abstractNumId w:val="4"/>
  </w:num>
  <w:num w:numId="27">
    <w:abstractNumId w:val="15"/>
  </w:num>
  <w:num w:numId="28">
    <w:abstractNumId w:val="18"/>
  </w:num>
  <w:num w:numId="29">
    <w:abstractNumId w:val="14"/>
  </w:num>
  <w:num w:numId="30">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3926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448C"/>
    <w:rsid w:val="000079A4"/>
    <w:rsid w:val="00011CE0"/>
    <w:rsid w:val="0002643F"/>
    <w:rsid w:val="00027086"/>
    <w:rsid w:val="00031AC5"/>
    <w:rsid w:val="00032356"/>
    <w:rsid w:val="00053AC5"/>
    <w:rsid w:val="00057583"/>
    <w:rsid w:val="000618AF"/>
    <w:rsid w:val="00063118"/>
    <w:rsid w:val="0008265D"/>
    <w:rsid w:val="00083C9B"/>
    <w:rsid w:val="000846BA"/>
    <w:rsid w:val="000B65C1"/>
    <w:rsid w:val="000C6EF8"/>
    <w:rsid w:val="000F19F2"/>
    <w:rsid w:val="0011494F"/>
    <w:rsid w:val="001275BE"/>
    <w:rsid w:val="0013345D"/>
    <w:rsid w:val="00134D7B"/>
    <w:rsid w:val="00134E94"/>
    <w:rsid w:val="001478CB"/>
    <w:rsid w:val="001539EA"/>
    <w:rsid w:val="00154160"/>
    <w:rsid w:val="00155B70"/>
    <w:rsid w:val="00162DD6"/>
    <w:rsid w:val="00163AC7"/>
    <w:rsid w:val="0016725E"/>
    <w:rsid w:val="00171277"/>
    <w:rsid w:val="00171BE2"/>
    <w:rsid w:val="00171E16"/>
    <w:rsid w:val="0017298B"/>
    <w:rsid w:val="00191F16"/>
    <w:rsid w:val="00195EE3"/>
    <w:rsid w:val="001A246F"/>
    <w:rsid w:val="001C72BF"/>
    <w:rsid w:val="001D42B9"/>
    <w:rsid w:val="001D7FA3"/>
    <w:rsid w:val="001E7863"/>
    <w:rsid w:val="001F1792"/>
    <w:rsid w:val="001F670F"/>
    <w:rsid w:val="0021052B"/>
    <w:rsid w:val="00215D5A"/>
    <w:rsid w:val="00224DE0"/>
    <w:rsid w:val="00233027"/>
    <w:rsid w:val="00233ACA"/>
    <w:rsid w:val="00271BE3"/>
    <w:rsid w:val="00276269"/>
    <w:rsid w:val="00277656"/>
    <w:rsid w:val="00283D1A"/>
    <w:rsid w:val="00295C63"/>
    <w:rsid w:val="002A39C7"/>
    <w:rsid w:val="002A5CCB"/>
    <w:rsid w:val="002B3A3D"/>
    <w:rsid w:val="002D0766"/>
    <w:rsid w:val="002E5261"/>
    <w:rsid w:val="003015C1"/>
    <w:rsid w:val="00302E29"/>
    <w:rsid w:val="00303455"/>
    <w:rsid w:val="0033342B"/>
    <w:rsid w:val="00333F1A"/>
    <w:rsid w:val="00337FE3"/>
    <w:rsid w:val="00345228"/>
    <w:rsid w:val="00350F85"/>
    <w:rsid w:val="003552C5"/>
    <w:rsid w:val="00385967"/>
    <w:rsid w:val="003931D1"/>
    <w:rsid w:val="00393B88"/>
    <w:rsid w:val="003978F1"/>
    <w:rsid w:val="003B3B29"/>
    <w:rsid w:val="003B4B98"/>
    <w:rsid w:val="003C767A"/>
    <w:rsid w:val="003E4550"/>
    <w:rsid w:val="003E7A7D"/>
    <w:rsid w:val="003F46B7"/>
    <w:rsid w:val="00404168"/>
    <w:rsid w:val="004053EB"/>
    <w:rsid w:val="00426E7C"/>
    <w:rsid w:val="0043248C"/>
    <w:rsid w:val="00477498"/>
    <w:rsid w:val="0049102E"/>
    <w:rsid w:val="004952D9"/>
    <w:rsid w:val="004C3C89"/>
    <w:rsid w:val="004D5C25"/>
    <w:rsid w:val="004D613C"/>
    <w:rsid w:val="004F6E49"/>
    <w:rsid w:val="00504C74"/>
    <w:rsid w:val="00526B3D"/>
    <w:rsid w:val="00532C48"/>
    <w:rsid w:val="00536F4F"/>
    <w:rsid w:val="00546734"/>
    <w:rsid w:val="00550ADE"/>
    <w:rsid w:val="00553F69"/>
    <w:rsid w:val="00557134"/>
    <w:rsid w:val="00560A63"/>
    <w:rsid w:val="0056516B"/>
    <w:rsid w:val="005673DB"/>
    <w:rsid w:val="00576B8D"/>
    <w:rsid w:val="005922CA"/>
    <w:rsid w:val="005A6476"/>
    <w:rsid w:val="005E19DD"/>
    <w:rsid w:val="00600583"/>
    <w:rsid w:val="00613C69"/>
    <w:rsid w:val="006231DD"/>
    <w:rsid w:val="00623D8A"/>
    <w:rsid w:val="00624250"/>
    <w:rsid w:val="00637FF4"/>
    <w:rsid w:val="00643639"/>
    <w:rsid w:val="00645A0F"/>
    <w:rsid w:val="00652B0F"/>
    <w:rsid w:val="006605A5"/>
    <w:rsid w:val="00680206"/>
    <w:rsid w:val="006928E2"/>
    <w:rsid w:val="00692EAC"/>
    <w:rsid w:val="00696FAD"/>
    <w:rsid w:val="006B1988"/>
    <w:rsid w:val="006C1298"/>
    <w:rsid w:val="006E59CE"/>
    <w:rsid w:val="006F4607"/>
    <w:rsid w:val="007019A7"/>
    <w:rsid w:val="00710A90"/>
    <w:rsid w:val="00711B51"/>
    <w:rsid w:val="007127CF"/>
    <w:rsid w:val="0071516D"/>
    <w:rsid w:val="00716FC7"/>
    <w:rsid w:val="00725CEC"/>
    <w:rsid w:val="0073019F"/>
    <w:rsid w:val="007430BA"/>
    <w:rsid w:val="00745C63"/>
    <w:rsid w:val="00751547"/>
    <w:rsid w:val="0075491B"/>
    <w:rsid w:val="007624BD"/>
    <w:rsid w:val="00767A02"/>
    <w:rsid w:val="00770E4E"/>
    <w:rsid w:val="007741BB"/>
    <w:rsid w:val="007809D4"/>
    <w:rsid w:val="0078372F"/>
    <w:rsid w:val="0078607C"/>
    <w:rsid w:val="00796212"/>
    <w:rsid w:val="007A4A21"/>
    <w:rsid w:val="007B4710"/>
    <w:rsid w:val="007C206B"/>
    <w:rsid w:val="007C485F"/>
    <w:rsid w:val="007F48C3"/>
    <w:rsid w:val="008067BA"/>
    <w:rsid w:val="00821392"/>
    <w:rsid w:val="008222B1"/>
    <w:rsid w:val="00826FB5"/>
    <w:rsid w:val="00851745"/>
    <w:rsid w:val="00852A32"/>
    <w:rsid w:val="00877E11"/>
    <w:rsid w:val="00880F16"/>
    <w:rsid w:val="008919E3"/>
    <w:rsid w:val="0089320F"/>
    <w:rsid w:val="008972AA"/>
    <w:rsid w:val="008A4910"/>
    <w:rsid w:val="008D687C"/>
    <w:rsid w:val="008F7350"/>
    <w:rsid w:val="008F7BC3"/>
    <w:rsid w:val="009116E1"/>
    <w:rsid w:val="00914210"/>
    <w:rsid w:val="00914453"/>
    <w:rsid w:val="00922E5B"/>
    <w:rsid w:val="00924A8B"/>
    <w:rsid w:val="009310D7"/>
    <w:rsid w:val="009354F1"/>
    <w:rsid w:val="009377BE"/>
    <w:rsid w:val="00952310"/>
    <w:rsid w:val="00967E4F"/>
    <w:rsid w:val="009778A7"/>
    <w:rsid w:val="00994DC6"/>
    <w:rsid w:val="009A4BE0"/>
    <w:rsid w:val="009A5248"/>
    <w:rsid w:val="009A57DA"/>
    <w:rsid w:val="009A6B97"/>
    <w:rsid w:val="009C17E5"/>
    <w:rsid w:val="009D1F93"/>
    <w:rsid w:val="009E2334"/>
    <w:rsid w:val="009F6C96"/>
    <w:rsid w:val="00A06B11"/>
    <w:rsid w:val="00A1504A"/>
    <w:rsid w:val="00A207AB"/>
    <w:rsid w:val="00A35D6C"/>
    <w:rsid w:val="00A3609B"/>
    <w:rsid w:val="00A5267F"/>
    <w:rsid w:val="00A62EA9"/>
    <w:rsid w:val="00A91E37"/>
    <w:rsid w:val="00A9287E"/>
    <w:rsid w:val="00AA10EF"/>
    <w:rsid w:val="00AC09C7"/>
    <w:rsid w:val="00AD103B"/>
    <w:rsid w:val="00AE1A87"/>
    <w:rsid w:val="00AF7F00"/>
    <w:rsid w:val="00B25A17"/>
    <w:rsid w:val="00B30155"/>
    <w:rsid w:val="00B34457"/>
    <w:rsid w:val="00B47230"/>
    <w:rsid w:val="00B47299"/>
    <w:rsid w:val="00B5792D"/>
    <w:rsid w:val="00B65A44"/>
    <w:rsid w:val="00B7432C"/>
    <w:rsid w:val="00B85955"/>
    <w:rsid w:val="00B96E55"/>
    <w:rsid w:val="00BA30C8"/>
    <w:rsid w:val="00BA340E"/>
    <w:rsid w:val="00BA5355"/>
    <w:rsid w:val="00BC6267"/>
    <w:rsid w:val="00BE08FE"/>
    <w:rsid w:val="00BE7FC8"/>
    <w:rsid w:val="00BF4583"/>
    <w:rsid w:val="00C0298D"/>
    <w:rsid w:val="00C115E5"/>
    <w:rsid w:val="00C11A0D"/>
    <w:rsid w:val="00C352F9"/>
    <w:rsid w:val="00C44794"/>
    <w:rsid w:val="00C574DB"/>
    <w:rsid w:val="00C61DDD"/>
    <w:rsid w:val="00C6240E"/>
    <w:rsid w:val="00C6618D"/>
    <w:rsid w:val="00C67B96"/>
    <w:rsid w:val="00C75AE4"/>
    <w:rsid w:val="00C828FF"/>
    <w:rsid w:val="00C915E8"/>
    <w:rsid w:val="00C95301"/>
    <w:rsid w:val="00CA3E46"/>
    <w:rsid w:val="00CB17C4"/>
    <w:rsid w:val="00CC07E1"/>
    <w:rsid w:val="00CE2053"/>
    <w:rsid w:val="00CE4DF2"/>
    <w:rsid w:val="00D00C28"/>
    <w:rsid w:val="00D01AD2"/>
    <w:rsid w:val="00D04FD8"/>
    <w:rsid w:val="00D15015"/>
    <w:rsid w:val="00D34F6E"/>
    <w:rsid w:val="00D452CE"/>
    <w:rsid w:val="00D45508"/>
    <w:rsid w:val="00D46CC3"/>
    <w:rsid w:val="00D500B8"/>
    <w:rsid w:val="00D63F51"/>
    <w:rsid w:val="00D749D8"/>
    <w:rsid w:val="00D76874"/>
    <w:rsid w:val="00D96D80"/>
    <w:rsid w:val="00DB5439"/>
    <w:rsid w:val="00DC2BF1"/>
    <w:rsid w:val="00DD08B4"/>
    <w:rsid w:val="00DE5245"/>
    <w:rsid w:val="00DE71D8"/>
    <w:rsid w:val="00E07A39"/>
    <w:rsid w:val="00E20938"/>
    <w:rsid w:val="00E410BD"/>
    <w:rsid w:val="00E44FDE"/>
    <w:rsid w:val="00E51B85"/>
    <w:rsid w:val="00E61853"/>
    <w:rsid w:val="00E74F4F"/>
    <w:rsid w:val="00E851C5"/>
    <w:rsid w:val="00E90848"/>
    <w:rsid w:val="00EB548C"/>
    <w:rsid w:val="00EE0A82"/>
    <w:rsid w:val="00EE618D"/>
    <w:rsid w:val="00EE630F"/>
    <w:rsid w:val="00EF4312"/>
    <w:rsid w:val="00EF444E"/>
    <w:rsid w:val="00EF615B"/>
    <w:rsid w:val="00F1614F"/>
    <w:rsid w:val="00F20E45"/>
    <w:rsid w:val="00F23B72"/>
    <w:rsid w:val="00F50630"/>
    <w:rsid w:val="00F52A42"/>
    <w:rsid w:val="00F542F8"/>
    <w:rsid w:val="00F62A42"/>
    <w:rsid w:val="00F65E68"/>
    <w:rsid w:val="00F74708"/>
    <w:rsid w:val="00F812AA"/>
    <w:rsid w:val="00F82FA0"/>
    <w:rsid w:val="00FB15E9"/>
    <w:rsid w:val="00FB194E"/>
    <w:rsid w:val="00FB3840"/>
    <w:rsid w:val="00FC57BD"/>
    <w:rsid w:val="00FD0321"/>
    <w:rsid w:val="00FD431B"/>
    <w:rsid w:val="00FD791F"/>
    <w:rsid w:val="00FF3C17"/>
    <w:rsid w:val="00FF644E"/>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uiPriority w:val="9"/>
    <w:qFormat/>
    <w:rsid w:val="008A4910"/>
    <w:pPr>
      <w:numPr>
        <w:numId w:val="1"/>
      </w:numPr>
      <w:kinsoku w:val="0"/>
      <w:jc w:val="both"/>
      <w:outlineLvl w:val="0"/>
    </w:pPr>
    <w:rPr>
      <w:rFonts w:ascii="標楷體" w:hAnsi="Arial"/>
      <w:bCs/>
      <w:kern w:val="0"/>
      <w:szCs w:val="52"/>
    </w:rPr>
  </w:style>
  <w:style w:type="paragraph" w:styleId="2">
    <w:name w:val="heading 2"/>
    <w:basedOn w:val="a2"/>
    <w:link w:val="20"/>
    <w:uiPriority w:val="9"/>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uiPriority w:val="9"/>
    <w:qFormat/>
    <w:rsid w:val="008A4910"/>
    <w:pPr>
      <w:numPr>
        <w:ilvl w:val="3"/>
        <w:numId w:val="1"/>
      </w:numPr>
      <w:jc w:val="both"/>
      <w:outlineLvl w:val="3"/>
    </w:pPr>
    <w:rPr>
      <w:rFonts w:ascii="標楷體" w:hAnsi="Arial"/>
      <w:szCs w:val="36"/>
    </w:rPr>
  </w:style>
  <w:style w:type="paragraph" w:styleId="5">
    <w:name w:val="heading 5"/>
    <w:aliases w:val="(一),標題 5 字元"/>
    <w:basedOn w:val="a2"/>
    <w:uiPriority w:val="9"/>
    <w:qFormat/>
    <w:rsid w:val="008A4910"/>
    <w:pPr>
      <w:numPr>
        <w:ilvl w:val="4"/>
        <w:numId w:val="1"/>
      </w:numPr>
      <w:jc w:val="both"/>
      <w:outlineLvl w:val="4"/>
    </w:pPr>
    <w:rPr>
      <w:rFonts w:ascii="標楷體" w:hAnsi="Arial"/>
      <w:bCs/>
      <w:szCs w:val="36"/>
    </w:rPr>
  </w:style>
  <w:style w:type="paragraph" w:styleId="6">
    <w:name w:val="heading 6"/>
    <w:aliases w:val="1"/>
    <w:basedOn w:val="a2"/>
    <w:link w:val="60"/>
    <w:uiPriority w:val="9"/>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uiPriority w:val="9"/>
    <w:qFormat/>
    <w:rsid w:val="008A4910"/>
    <w:pPr>
      <w:numPr>
        <w:ilvl w:val="6"/>
        <w:numId w:val="1"/>
      </w:numPr>
      <w:jc w:val="both"/>
      <w:outlineLvl w:val="6"/>
    </w:pPr>
    <w:rPr>
      <w:rFonts w:ascii="標楷體" w:hAnsi="Arial"/>
      <w:bCs/>
      <w:szCs w:val="36"/>
    </w:rPr>
  </w:style>
  <w:style w:type="paragraph" w:styleId="8">
    <w:name w:val="heading 8"/>
    <w:basedOn w:val="a2"/>
    <w:link w:val="80"/>
    <w:uiPriority w:val="9"/>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4">
    <w:name w:val="footnote text"/>
    <w:basedOn w:val="a2"/>
    <w:link w:val="af5"/>
    <w:unhideWhenUsed/>
    <w:rsid w:val="002E5261"/>
    <w:pPr>
      <w:snapToGrid w:val="0"/>
    </w:pPr>
    <w:rPr>
      <w:sz w:val="20"/>
    </w:rPr>
  </w:style>
  <w:style w:type="character" w:customStyle="1" w:styleId="af5">
    <w:name w:val="註腳文字 字元"/>
    <w:basedOn w:val="a3"/>
    <w:link w:val="af4"/>
    <w:rsid w:val="002E5261"/>
    <w:rPr>
      <w:rFonts w:eastAsia="標楷體"/>
      <w:kern w:val="2"/>
    </w:rPr>
  </w:style>
  <w:style w:type="character" w:styleId="af6">
    <w:name w:val="footnote reference"/>
    <w:basedOn w:val="a3"/>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character" w:customStyle="1" w:styleId="firstword1">
    <w:name w:val="firstword1"/>
    <w:basedOn w:val="a3"/>
    <w:rsid w:val="009A4BE0"/>
    <w:rPr>
      <w:rFonts w:ascii="зũ" w:hAnsi="зũ" w:hint="default"/>
      <w:color w:val="0000FF"/>
      <w:sz w:val="25"/>
      <w:szCs w:val="25"/>
    </w:rPr>
  </w:style>
  <w:style w:type="paragraph" w:customStyle="1" w:styleId="HSR2">
    <w:name w:val="HSR.標題.2"/>
    <w:basedOn w:val="2"/>
    <w:rsid w:val="009A4BE0"/>
    <w:pPr>
      <w:numPr>
        <w:numId w:val="11"/>
      </w:numPr>
      <w:adjustRightInd w:val="0"/>
      <w:spacing w:before="120" w:after="120"/>
      <w:textAlignment w:val="baseline"/>
    </w:pPr>
    <w:rPr>
      <w:rFonts w:ascii="Times New Roman" w:hAnsi="Times New Roman"/>
      <w:bCs w:val="0"/>
      <w:kern w:val="52"/>
      <w:sz w:val="24"/>
      <w:szCs w:val="20"/>
    </w:rPr>
  </w:style>
  <w:style w:type="paragraph" w:customStyle="1" w:styleId="16">
    <w:name w:val="清單段落1"/>
    <w:basedOn w:val="a2"/>
    <w:rsid w:val="009A4BE0"/>
    <w:pPr>
      <w:ind w:leftChars="200" w:left="480"/>
    </w:pPr>
    <w:rPr>
      <w:rFonts w:ascii="Calibri" w:eastAsia="新細明體" w:hAnsi="Calibri"/>
      <w:sz w:val="24"/>
      <w:szCs w:val="22"/>
    </w:rPr>
  </w:style>
  <w:style w:type="paragraph" w:customStyle="1" w:styleId="affc">
    <w:name w:val="表內文"/>
    <w:basedOn w:val="a2"/>
    <w:rsid w:val="009A4BE0"/>
    <w:pPr>
      <w:framePr w:hSpace="180" w:wrap="around" w:vAnchor="text" w:hAnchor="margin" w:xAlign="center" w:y="402"/>
      <w:jc w:val="both"/>
    </w:pPr>
    <w:rPr>
      <w:rFonts w:ascii="Arial" w:hAnsi="Arial" w:cs="Arial"/>
      <w:sz w:val="28"/>
      <w:szCs w:val="28"/>
    </w:rPr>
  </w:style>
  <w:style w:type="character" w:customStyle="1" w:styleId="langwithname">
    <w:name w:val="langwithname"/>
    <w:basedOn w:val="a3"/>
    <w:rsid w:val="009A4BE0"/>
  </w:style>
  <w:style w:type="paragraph" w:customStyle="1" w:styleId="25">
    <w:name w:val="清單段落2"/>
    <w:basedOn w:val="a2"/>
    <w:rsid w:val="00DB5439"/>
    <w:pPr>
      <w:ind w:leftChars="200" w:left="480"/>
    </w:pPr>
    <w:rPr>
      <w:rFonts w:ascii="Calibri" w:eastAsia="新細明體" w:hAnsi="Calibri"/>
      <w:sz w:val="24"/>
      <w:szCs w:val="22"/>
    </w:rPr>
  </w:style>
  <w:style w:type="character" w:customStyle="1" w:styleId="bk15">
    <w:name w:val="bk15"/>
    <w:basedOn w:val="a3"/>
    <w:rsid w:val="00DB5439"/>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FA99-FEA6-44F7-9355-8C4EA32D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4</TotalTime>
  <Pages>16</Pages>
  <Words>9057</Words>
  <Characters>885</Characters>
  <Application>Microsoft Office Word</Application>
  <DocSecurity>0</DocSecurity>
  <Lines>7</Lines>
  <Paragraphs>19</Paragraphs>
  <ScaleCrop>false</ScaleCrop>
  <Company>cy</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2014-03-28T02:33:00Z</cp:lastPrinted>
  <dcterms:created xsi:type="dcterms:W3CDTF">2014-04-18T06:44:00Z</dcterms:created>
  <dcterms:modified xsi:type="dcterms:W3CDTF">2014-04-18T07:10:00Z</dcterms:modified>
</cp:coreProperties>
</file>